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val="0"/>
        <w:snapToGrid w:val="0"/>
        <w:spacing w:line="560" w:lineRule="exact"/>
        <w:ind w:left="0" w:firstLineChars="0" w:firstLine="0"/>
        <w:jc w:val="center"/>
        <w:textAlignment w:val="auto"/>
        <w:rPr>
          <w:rFonts w:ascii="仿宋" w:eastAsia="方正小标宋简体" w:cs="方正小标宋简体" w:hAnsi="仿宋" w:hint="eastAsia"/>
          <w:snapToGrid/>
          <w:kern w:val="2"/>
          <w:sz w:val="44"/>
          <w:szCs w:val="44"/>
          <w:lang w:val="en-US" w:eastAsia="zh-CN"/>
        </w:rPr>
      </w:pPr>
      <w:r>
        <w:rPr>
          <w:rFonts w:ascii="仿宋" w:eastAsia="方正小标宋简体" w:cs="方正小标宋简体" w:hAnsi="仿宋" w:hint="eastAsia"/>
          <w:snapToGrid/>
          <w:kern w:val="2"/>
          <w:sz w:val="44"/>
          <w:szCs w:val="44"/>
          <w:lang w:val="en-US" w:eastAsia="zh-CN"/>
        </w:rPr>
        <w:t>东源县供销联社2025年度中央财政资金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0" w:firstLine="0"/>
        <w:jc w:val="center"/>
        <w:textAlignment w:val="auto"/>
        <w:rPr>
          <w:rFonts w:ascii="仿宋" w:eastAsia="方正小标宋简体" w:cs="方正小标宋简体" w:hAnsi="仿宋"/>
          <w:snapToGrid/>
          <w:kern w:val="2"/>
          <w:sz w:val="44"/>
          <w:szCs w:val="44"/>
          <w:lang w:val="en-US" w:eastAsia="zh-CN"/>
        </w:rPr>
      </w:pPr>
      <w:r>
        <w:rPr>
          <w:rFonts w:ascii="仿宋" w:eastAsia="方正小标宋简体" w:cs="方正小标宋简体" w:hAnsi="仿宋" w:hint="eastAsia"/>
          <w:snapToGrid/>
          <w:kern w:val="2"/>
          <w:sz w:val="44"/>
          <w:szCs w:val="44"/>
          <w:lang w:val="en-US" w:eastAsia="zh-CN"/>
        </w:rPr>
        <w:t>农业社会化服务项目实施方案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720"/>
        <w:jc w:val="both"/>
        <w:textAlignment w:val="auto"/>
        <w:rPr>
          <w:rFonts w:ascii="仿宋" w:eastAsia="宋体" w:cs="Times New Roman" w:hAnsi="仿宋"/>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rPr>
      </w:pPr>
      <w:r>
        <w:rPr>
          <w:rFonts w:ascii="仿宋" w:eastAsia="方正仿宋_GBK" w:cs="方正仿宋_GBK" w:hAnsi="仿宋" w:hint="eastAsia"/>
          <w:spacing w:val="-1"/>
          <w:sz w:val="32"/>
          <w:szCs w:val="32"/>
          <w:lang w:val="en-US"/>
        </w:rPr>
        <w:t>为贯彻落实全省推进农业生产托管工作会议精神，</w:t>
      </w:r>
      <w:r>
        <w:rPr>
          <w:rFonts w:ascii="仿宋" w:eastAsia="方正仿宋_GBK" w:cs="方正仿宋_GBK" w:hAnsi="仿宋" w:hint="eastAsia"/>
          <w:spacing w:val="-1"/>
          <w:sz w:val="32"/>
          <w:szCs w:val="32"/>
          <w:lang w:val="en-US" w:eastAsia="zh-CN"/>
        </w:rPr>
        <w:t>组织实施好</w:t>
      </w:r>
      <w:r>
        <w:rPr>
          <w:rFonts w:ascii="仿宋" w:eastAsia="方正仿宋_GBK" w:cs="方正仿宋_GBK" w:hAnsi="仿宋" w:hint="eastAsia"/>
          <w:spacing w:val="-1"/>
          <w:sz w:val="32"/>
          <w:szCs w:val="32"/>
          <w:lang w:val="en-US"/>
        </w:rPr>
        <w:t>我</w:t>
      </w:r>
      <w:r>
        <w:rPr>
          <w:rFonts w:ascii="仿宋" w:eastAsia="方正仿宋_GBK" w:cs="方正仿宋_GBK" w:hAnsi="仿宋" w:hint="eastAsia"/>
          <w:spacing w:val="-1"/>
          <w:sz w:val="32"/>
          <w:szCs w:val="32"/>
          <w:lang w:val="en-US" w:eastAsia="zh-CN"/>
        </w:rPr>
        <w:t>县</w:t>
      </w:r>
      <w:r>
        <w:rPr>
          <w:rFonts w:ascii="仿宋" w:eastAsia="方正仿宋_GBK" w:cs="方正仿宋_GBK" w:hAnsi="仿宋" w:hint="eastAsia"/>
          <w:spacing w:val="-1"/>
          <w:sz w:val="32"/>
          <w:szCs w:val="32"/>
          <w:lang w:val="en-US"/>
        </w:rPr>
        <w:t>202</w:t>
      </w:r>
      <w:r>
        <w:rPr>
          <w:rFonts w:ascii="仿宋" w:eastAsia="方正仿宋_GBK" w:cs="方正仿宋_GBK" w:hAnsi="仿宋" w:hint="eastAsia"/>
          <w:spacing w:val="-1"/>
          <w:sz w:val="32"/>
          <w:szCs w:val="32"/>
          <w:lang w:val="en-US" w:eastAsia="zh-CN"/>
        </w:rPr>
        <w:t>5</w:t>
      </w:r>
      <w:r>
        <w:rPr>
          <w:rFonts w:ascii="仿宋" w:eastAsia="方正仿宋_GBK" w:cs="方正仿宋_GBK" w:hAnsi="仿宋" w:hint="eastAsia"/>
          <w:spacing w:val="-1"/>
          <w:sz w:val="32"/>
          <w:szCs w:val="32"/>
          <w:lang w:val="en-US"/>
        </w:rPr>
        <w:t>年度中央财政资金农业社会化服务项目，根据《广东省供销合作联社关于印发全省供销合作社系统2025年度中央财政资金农业社会化服务项目实施方案的通知》</w:t>
      </w:r>
      <w:r>
        <w:rPr>
          <w:rFonts w:ascii="仿宋" w:eastAsia="方正仿宋_GBK" w:cs="方正仿宋_GBK" w:hAnsi="仿宋" w:hint="eastAsia"/>
          <w:spacing w:val="-1"/>
          <w:sz w:val="32"/>
          <w:szCs w:val="32"/>
          <w:lang w:val="en-US" w:eastAsia="zh-CN"/>
        </w:rPr>
        <w:t>（粤供企函〔2025〕194号）《关于印发河源市供销合作社系统2025年度中央财政资金农业社会化服务项目任务清单的通知》（河供业函〔2025〕9号）要求，</w:t>
      </w:r>
      <w:r>
        <w:rPr>
          <w:rFonts w:ascii="仿宋" w:eastAsia="方正仿宋_GBK" w:cs="方正仿宋_GBK" w:hAnsi="仿宋" w:hint="eastAsia"/>
          <w:spacing w:val="-1"/>
          <w:sz w:val="32"/>
          <w:szCs w:val="32"/>
          <w:lang w:val="en-US"/>
        </w:rPr>
        <w:t>结合</w:t>
      </w:r>
      <w:r>
        <w:rPr>
          <w:rFonts w:ascii="仿宋" w:eastAsia="方正仿宋_GBK" w:cs="方正仿宋_GBK" w:hAnsi="仿宋" w:hint="eastAsia"/>
          <w:spacing w:val="-1"/>
          <w:sz w:val="32"/>
          <w:szCs w:val="32"/>
          <w:lang w:val="en-US" w:eastAsia="zh-CN"/>
        </w:rPr>
        <w:t>我县农业生产</w:t>
      </w:r>
      <w:r>
        <w:rPr>
          <w:rFonts w:ascii="仿宋" w:eastAsia="方正仿宋_GBK" w:cs="方正仿宋_GBK" w:hAnsi="仿宋" w:hint="eastAsia"/>
          <w:spacing w:val="-1"/>
          <w:sz w:val="32"/>
          <w:szCs w:val="32"/>
          <w:lang w:val="en-US"/>
        </w:rPr>
        <w:t>实际，制定本实施方案。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hint="eastAsia"/>
          <w:sz w:val="32"/>
          <w:szCs w:val="32"/>
        </w:rPr>
      </w:pPr>
      <w:r>
        <w:rPr>
          <w:rFonts w:ascii="仿宋" w:eastAsia="方正黑体_GBK" w:cs="方正黑体_GBK" w:hAnsi="仿宋" w:hint="eastAsia"/>
          <w:spacing w:val="7"/>
          <w:sz w:val="32"/>
          <w:szCs w:val="32"/>
        </w:rPr>
        <w:t>一、指导思想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spacing w:val="-1"/>
          <w:sz w:val="32"/>
          <w:szCs w:val="32"/>
          <w:lang w:val="en-US"/>
        </w:rPr>
      </w:pPr>
      <w:r>
        <w:rPr>
          <w:rFonts w:ascii="仿宋" w:eastAsia="方正仿宋_GBK" w:cs="方正仿宋_GBK" w:hAnsi="仿宋"/>
          <w:spacing w:val="-1"/>
          <w:sz w:val="32"/>
          <w:szCs w:val="32"/>
          <w:lang w:val="en-US"/>
        </w:rPr>
        <w:t>以习近平新时代中国特色社会主义思想为指导，深入贯彻党的</w:t>
      </w:r>
      <w:r>
        <w:rPr>
          <w:rFonts w:ascii="仿宋" w:eastAsia="方正仿宋_GBK" w:cs="方正仿宋_GBK" w:hAnsi="仿宋"/>
          <w:spacing w:val="-1"/>
          <w:sz w:val="32"/>
          <w:szCs w:val="32"/>
          <w:lang w:val="en-US" w:eastAsia="zh-CN"/>
        </w:rPr>
        <w:t>二十</w:t>
      </w:r>
      <w:r>
        <w:rPr>
          <w:rFonts w:ascii="仿宋" w:eastAsia="方正仿宋_GBK" w:cs="方正仿宋_GBK" w:hAnsi="仿宋"/>
          <w:spacing w:val="-1"/>
          <w:sz w:val="32"/>
          <w:szCs w:val="32"/>
          <w:lang w:val="en-US"/>
        </w:rPr>
        <w:t>大</w:t>
      </w:r>
      <w:bookmarkStart w:id="0" w:name="_GoBack"/>
      <w:bookmarkEnd w:id="0"/>
      <w:r>
        <w:rPr>
          <w:rFonts w:ascii="仿宋" w:eastAsia="方正仿宋_GBK" w:cs="方正仿宋_GBK" w:hAnsi="仿宋"/>
          <w:spacing w:val="-1"/>
          <w:sz w:val="32"/>
          <w:szCs w:val="32"/>
          <w:lang w:val="en-US"/>
        </w:rPr>
        <w:t>精神，以培育农业服务业为目标，以聚焦农业生产薄弱环节和服务小农户为重点，以生产托管服务为主要落地方式，推动</w:t>
      </w:r>
      <w:r>
        <w:rPr>
          <w:rFonts w:ascii="仿宋" w:eastAsia="方正仿宋_GBK" w:cs="方正仿宋_GBK" w:hAnsi="仿宋"/>
          <w:spacing w:val="-1"/>
          <w:sz w:val="32"/>
          <w:szCs w:val="32"/>
          <w:lang w:val="en-US" w:eastAsia="zh-CN"/>
        </w:rPr>
        <w:t>农业生产</w:t>
      </w:r>
      <w:r>
        <w:rPr>
          <w:rFonts w:ascii="仿宋" w:eastAsia="方正仿宋_GBK" w:cs="方正仿宋_GBK" w:hAnsi="仿宋"/>
          <w:spacing w:val="-1"/>
          <w:sz w:val="32"/>
          <w:szCs w:val="32"/>
          <w:lang w:val="en-US"/>
        </w:rPr>
        <w:t>服务需求和服务资源整合，</w:t>
      </w:r>
      <w:r>
        <w:rPr>
          <w:rFonts w:ascii="仿宋" w:eastAsia="方正仿宋_GBK" w:cs="方正仿宋_GBK" w:hAnsi="仿宋"/>
          <w:spacing w:val="-1"/>
          <w:sz w:val="32"/>
          <w:szCs w:val="32"/>
          <w:lang w:val="en-US" w:eastAsia="zh-CN"/>
        </w:rPr>
        <w:t>促进</w:t>
      </w:r>
      <w:r>
        <w:rPr>
          <w:rFonts w:ascii="仿宋" w:eastAsia="方正仿宋_GBK" w:cs="方正仿宋_GBK" w:hAnsi="仿宋"/>
          <w:spacing w:val="-1"/>
          <w:sz w:val="32"/>
          <w:szCs w:val="32"/>
          <w:lang w:val="en-US"/>
        </w:rPr>
        <w:t>农业社会化服务规模化、专业化、标准化、数字化发展，</w:t>
      </w:r>
      <w:r>
        <w:rPr>
          <w:rFonts w:ascii="仿宋" w:eastAsia="方正仿宋_GBK" w:cs="方正仿宋_GBK" w:hAnsi="仿宋"/>
          <w:spacing w:val="-1"/>
          <w:sz w:val="32"/>
          <w:szCs w:val="32"/>
          <w:lang w:val="en-US" w:eastAsia="zh-CN"/>
        </w:rPr>
        <w:t>助力</w:t>
      </w:r>
      <w:r>
        <w:rPr>
          <w:rFonts w:ascii="仿宋" w:eastAsia="方正仿宋_GBK" w:cs="方正仿宋_GBK" w:hAnsi="仿宋"/>
          <w:spacing w:val="-1"/>
          <w:sz w:val="32"/>
          <w:szCs w:val="32"/>
          <w:lang w:val="en-US"/>
        </w:rPr>
        <w:t>推进乡村振兴</w:t>
      </w:r>
      <w:r>
        <w:rPr>
          <w:rFonts w:ascii="仿宋" w:eastAsia="方正仿宋_GBK" w:cs="方正仿宋_GBK" w:hAnsi="仿宋"/>
          <w:spacing w:val="-1"/>
          <w:sz w:val="32"/>
          <w:szCs w:val="32"/>
          <w:lang w:val="en-US" w:eastAsia="zh-CN"/>
        </w:rPr>
        <w:t>和</w:t>
      </w:r>
      <w:r>
        <w:rPr>
          <w:rFonts w:ascii="仿宋" w:eastAsia="方正仿宋_GBK" w:cs="方正仿宋_GBK" w:hAnsi="仿宋"/>
          <w:spacing w:val="-1"/>
          <w:sz w:val="32"/>
          <w:szCs w:val="32"/>
          <w:lang w:val="en-US"/>
        </w:rPr>
        <w:t>农业农村</w:t>
      </w:r>
      <w:r>
        <w:rPr>
          <w:rFonts w:ascii="仿宋" w:eastAsia="方正仿宋_GBK" w:cs="方正仿宋_GBK" w:hAnsi="仿宋"/>
          <w:spacing w:val="-1"/>
          <w:sz w:val="32"/>
          <w:szCs w:val="32"/>
          <w:lang w:val="en-US" w:eastAsia="zh-CN"/>
        </w:rPr>
        <w:t>高质量发展</w:t>
      </w:r>
      <w:r>
        <w:rPr>
          <w:rFonts w:ascii="仿宋" w:eastAsia="方正仿宋_GBK" w:cs="方正仿宋_GBK" w:hAnsi="仿宋"/>
          <w:spacing w:val="-1"/>
          <w:sz w:val="32"/>
          <w:szCs w:val="32"/>
          <w:lang w:val="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spacing w:val="7"/>
          <w:sz w:val="32"/>
          <w:szCs w:val="32"/>
        </w:rPr>
      </w:pPr>
      <w:r>
        <w:rPr>
          <w:rFonts w:ascii="仿宋" w:eastAsia="方正黑体_GBK" w:cs="方正黑体_GBK" w:hAnsi="仿宋"/>
          <w:spacing w:val="7"/>
          <w:sz w:val="32"/>
          <w:szCs w:val="32"/>
        </w:rPr>
        <w:t>二、目标任务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spacing w:val="-1"/>
          <w:sz w:val="32"/>
          <w:szCs w:val="32"/>
          <w:lang w:val="en-US"/>
        </w:rPr>
      </w:pPr>
      <w:r>
        <w:rPr>
          <w:rFonts w:ascii="仿宋" w:eastAsia="方正仿宋_GBK" w:cs="方正仿宋_GBK" w:hAnsi="仿宋"/>
          <w:spacing w:val="-1"/>
          <w:sz w:val="32"/>
          <w:szCs w:val="32"/>
          <w:lang w:val="en-US" w:eastAsia="zh-CN"/>
        </w:rPr>
        <w:t>202</w:t>
      </w:r>
      <w:r>
        <w:rPr>
          <w:rFonts w:ascii="仿宋" w:eastAsia="方正仿宋_GBK" w:cs="方正仿宋_GBK" w:hAnsi="仿宋" w:hint="eastAsia"/>
          <w:spacing w:val="-1"/>
          <w:sz w:val="32"/>
          <w:szCs w:val="32"/>
          <w:lang w:val="en-US" w:eastAsia="zh-CN"/>
        </w:rPr>
        <w:t>5</w:t>
      </w:r>
      <w:r>
        <w:rPr>
          <w:rFonts w:ascii="仿宋" w:eastAsia="方正仿宋_GBK" w:cs="方正仿宋_GBK" w:hAnsi="仿宋"/>
          <w:spacing w:val="-1"/>
          <w:sz w:val="32"/>
          <w:szCs w:val="32"/>
          <w:lang w:val="en-US" w:eastAsia="zh-CN"/>
        </w:rPr>
        <w:t>年，</w:t>
      </w:r>
      <w:r>
        <w:rPr>
          <w:rFonts w:ascii="仿宋" w:eastAsia="方正仿宋_GBK" w:cs="方正仿宋_GBK" w:hAnsi="仿宋" w:hint="eastAsia"/>
          <w:spacing w:val="-1"/>
          <w:sz w:val="32"/>
          <w:szCs w:val="32"/>
          <w:lang w:val="en-US" w:eastAsia="zh-CN"/>
        </w:rPr>
        <w:t>在</w:t>
      </w:r>
      <w:r>
        <w:rPr>
          <w:rFonts w:ascii="仿宋" w:eastAsia="方正仿宋_GBK" w:cs="方正仿宋_GBK" w:hAnsi="仿宋"/>
          <w:spacing w:val="-1"/>
          <w:sz w:val="32"/>
          <w:szCs w:val="32"/>
          <w:lang w:val="en-US" w:eastAsia="zh-CN"/>
        </w:rPr>
        <w:t>全县</w:t>
      </w:r>
      <w:r>
        <w:rPr>
          <w:rFonts w:ascii="仿宋" w:eastAsia="方正仿宋_GBK" w:cs="方正仿宋_GBK" w:hAnsi="仿宋" w:hint="eastAsia"/>
          <w:spacing w:val="-1"/>
          <w:sz w:val="32"/>
          <w:szCs w:val="32"/>
          <w:lang w:val="en-US" w:eastAsia="zh-CN"/>
        </w:rPr>
        <w:t>为种植户提供农业社会化</w:t>
      </w:r>
      <w:r>
        <w:rPr>
          <w:rFonts w:ascii="仿宋" w:eastAsia="方正仿宋_GBK" w:cs="方正仿宋_GBK" w:hAnsi="仿宋"/>
          <w:spacing w:val="-1"/>
          <w:sz w:val="32"/>
          <w:szCs w:val="32"/>
          <w:lang w:val="en-US" w:eastAsia="zh-CN"/>
        </w:rPr>
        <w:t>服</w:t>
      </w:r>
      <w:r>
        <w:rPr>
          <w:rFonts w:ascii="仿宋" w:eastAsia="方正仿宋_GBK" w:cs="方正仿宋_GBK" w:hAnsi="仿宋"/>
          <w:spacing w:val="-1"/>
          <w:sz w:val="32"/>
          <w:szCs w:val="32"/>
          <w:lang w:val="en-US" w:eastAsia="zh-CN"/>
          <w:highlight w:val="auto"/>
        </w:rPr>
        <w:t>务</w:t>
      </w:r>
      <w:r>
        <w:rPr>
          <w:rFonts w:ascii="仿宋" w:eastAsia="方正仿宋_GBK" w:cs="方正仿宋_GBK" w:hAnsi="仿宋" w:hint="eastAsia"/>
          <w:spacing w:val="-1"/>
          <w:sz w:val="32"/>
          <w:szCs w:val="32"/>
          <w:lang w:val="en-US" w:eastAsia="zh-CN"/>
          <w:highlight w:val="auto"/>
        </w:rPr>
        <w:t>，重点围绕水</w:t>
      </w:r>
      <w:r>
        <w:rPr>
          <w:rFonts w:ascii="仿宋" w:eastAsia="方正仿宋_GBK" w:cs="方正仿宋_GBK" w:hAnsi="仿宋"/>
          <w:spacing w:val="-1"/>
          <w:sz w:val="32"/>
          <w:szCs w:val="32"/>
          <w:lang w:val="en-US"/>
          <w:highlight w:val="auto"/>
        </w:rPr>
        <w:t>稻</w:t>
      </w:r>
      <w:r>
        <w:rPr>
          <w:rFonts w:ascii="仿宋" w:eastAsia="方正仿宋_GBK" w:cs="方正仿宋_GBK" w:hAnsi="仿宋" w:hint="eastAsia"/>
          <w:spacing w:val="-1"/>
          <w:sz w:val="32"/>
          <w:szCs w:val="32"/>
          <w:lang w:val="en-US" w:eastAsia="zh-CN"/>
          <w:highlight w:val="auto"/>
        </w:rPr>
        <w:t>、玉米、马铃薯、花生等作物开展生产托管服务，通</w:t>
      </w:r>
      <w:r>
        <w:rPr>
          <w:rFonts w:ascii="仿宋" w:eastAsia="方正仿宋_GBK" w:cs="方正仿宋_GBK" w:hAnsi="仿宋" w:hint="eastAsia"/>
          <w:spacing w:val="-1"/>
          <w:sz w:val="32"/>
          <w:szCs w:val="32"/>
          <w:lang w:val="en-US" w:eastAsia="zh-CN"/>
        </w:rPr>
        <w:t>过服务，健全和</w:t>
      </w:r>
      <w:r>
        <w:rPr>
          <w:rFonts w:ascii="仿宋" w:eastAsia="方正仿宋_GBK" w:cs="方正仿宋_GBK" w:hAnsi="仿宋"/>
          <w:spacing w:val="-1"/>
          <w:sz w:val="32"/>
          <w:szCs w:val="32"/>
          <w:lang w:val="en-US" w:eastAsia="zh-CN"/>
        </w:rPr>
        <w:t>发挥</w:t>
      </w:r>
      <w:r>
        <w:rPr>
          <w:rFonts w:ascii="仿宋" w:eastAsia="方正仿宋_GBK" w:cs="方正仿宋_GBK" w:hAnsi="仿宋" w:hint="eastAsia"/>
          <w:spacing w:val="-1"/>
          <w:sz w:val="32"/>
          <w:szCs w:val="32"/>
          <w:lang w:val="en-US" w:eastAsia="zh-CN"/>
        </w:rPr>
        <w:t>东源县</w:t>
      </w:r>
      <w:r>
        <w:rPr>
          <w:rFonts w:ascii="仿宋" w:eastAsia="方正仿宋_GBK" w:cs="方正仿宋_GBK" w:hAnsi="仿宋"/>
          <w:spacing w:val="-1"/>
          <w:sz w:val="32"/>
          <w:szCs w:val="32"/>
          <w:lang w:val="en-US" w:eastAsia="zh-CN"/>
        </w:rPr>
        <w:t>供销合作社系统农资农技服务网络优势，以聚焦农业生产薄弱环节和服务小农户为重点，以生产托管服务为主要落地方式，推动农业社会化服务规模化、专业化、标准化、数字化发展，带动中小农户参与适度规模经营，以服务现代化支撑和引领农业现代化，保障粮食安全和重要农产品有效供给。</w:t>
      </w:r>
      <w:r>
        <w:rPr>
          <w:rFonts w:ascii="仿宋" w:eastAsia="方正仿宋_GBK" w:cs="方正仿宋_GBK" w:hAnsi="仿宋"/>
          <w:spacing w:val="-1"/>
          <w:sz w:val="32"/>
          <w:szCs w:val="32"/>
          <w:lang w:val="en-US"/>
        </w:rPr>
        <w:t>整合优化资源，提高</w:t>
      </w:r>
      <w:r>
        <w:rPr>
          <w:rFonts w:ascii="仿宋" w:eastAsia="方正仿宋_GBK" w:cs="方正仿宋_GBK" w:hAnsi="仿宋"/>
          <w:spacing w:val="-1"/>
          <w:sz w:val="32"/>
          <w:szCs w:val="32"/>
          <w:lang w:val="en-US" w:eastAsia="zh-CN"/>
        </w:rPr>
        <w:t>我</w:t>
      </w:r>
      <w:r>
        <w:rPr>
          <w:rFonts w:ascii="仿宋" w:eastAsia="方正仿宋_GBK" w:cs="方正仿宋_GBK" w:hAnsi="仿宋"/>
          <w:spacing w:val="-1"/>
          <w:sz w:val="32"/>
          <w:szCs w:val="32"/>
          <w:lang w:val="en-US"/>
        </w:rPr>
        <w:t>县</w:t>
      </w:r>
      <w:r>
        <w:rPr>
          <w:rFonts w:ascii="仿宋" w:eastAsia="方正仿宋_GBK" w:cs="方正仿宋_GBK" w:hAnsi="仿宋" w:hint="eastAsia"/>
          <w:spacing w:val="-1"/>
          <w:sz w:val="32"/>
          <w:szCs w:val="32"/>
          <w:lang w:val="en-US" w:eastAsia="zh-CN"/>
        </w:rPr>
        <w:t>供销合作社农业生产托管</w:t>
      </w:r>
      <w:r>
        <w:rPr>
          <w:rFonts w:ascii="仿宋" w:eastAsia="方正仿宋_GBK" w:cs="方正仿宋_GBK" w:hAnsi="仿宋"/>
          <w:spacing w:val="-1"/>
          <w:sz w:val="32"/>
          <w:szCs w:val="32"/>
          <w:lang w:val="en-US"/>
        </w:rPr>
        <w:t>的服务能力和水平</w:t>
      </w:r>
      <w:r>
        <w:rPr>
          <w:rFonts w:ascii="仿宋" w:eastAsia="方正仿宋_GBK" w:cs="方正仿宋_GBK" w:hAnsi="仿宋"/>
          <w:spacing w:val="-1"/>
          <w:sz w:val="32"/>
          <w:szCs w:val="32"/>
          <w:lang w:val="en-US" w:eastAsia="zh-CN"/>
        </w:rPr>
        <w:t>，</w:t>
      </w:r>
      <w:r>
        <w:rPr>
          <w:rFonts w:ascii="仿宋" w:eastAsia="方正仿宋_GBK" w:cs="方正仿宋_GBK" w:hAnsi="仿宋" w:hint="eastAsia"/>
          <w:spacing w:val="-1"/>
          <w:sz w:val="32"/>
          <w:szCs w:val="32"/>
          <w:lang w:val="en-US" w:eastAsia="zh-CN"/>
        </w:rPr>
        <w:t>通过项目实施，完成以下目标</w:t>
      </w:r>
      <w:r>
        <w:rPr>
          <w:rFonts w:ascii="仿宋" w:eastAsia="方正仿宋_GBK" w:cs="方正仿宋_GBK" w:hAnsi="仿宋"/>
          <w:spacing w:val="-1"/>
          <w:sz w:val="32"/>
          <w:szCs w:val="32"/>
          <w:lang w:val="en-US"/>
        </w:rPr>
        <w:t>：</w:t>
      </w:r>
      <w:r>
        <w:rPr>
          <w:rFonts w:ascii="仿宋" w:eastAsia="方正仿宋_GBK" w:cs="方正仿宋_GBK" w:hAnsi="仿宋" w:hint="eastAsia"/>
          <w:spacing w:val="-1"/>
          <w:sz w:val="32"/>
          <w:szCs w:val="32"/>
          <w:lang w:val="en-US" w:eastAsia="zh-CN"/>
        </w:rPr>
        <w:t>一是实施农业生产社会化服务任务面积1.4万亩以上；二是整村推进实施农业生产托管服务项目的行政村不少于1个；三是实施农业生产全托管的粮食作物单产要高于当地平均单产。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spacing w:val="7"/>
          <w:sz w:val="32"/>
          <w:szCs w:val="32"/>
        </w:rPr>
      </w:pPr>
      <w:r>
        <w:rPr>
          <w:rFonts w:ascii="仿宋" w:eastAsia="方正黑体_GBK" w:cs="方正黑体_GBK" w:hAnsi="仿宋" w:hint="eastAsia"/>
          <w:spacing w:val="7"/>
          <w:sz w:val="32"/>
          <w:szCs w:val="32"/>
          <w:lang w:val="en-US" w:eastAsia="zh-CN"/>
        </w:rPr>
        <w:t>三、</w:t>
      </w:r>
      <w:r>
        <w:rPr>
          <w:rFonts w:ascii="仿宋" w:eastAsia="方正黑体_GBK" w:cs="方正黑体_GBK" w:hAnsi="仿宋"/>
          <w:spacing w:val="7"/>
          <w:sz w:val="32"/>
          <w:szCs w:val="32"/>
        </w:rPr>
        <w:t>项目实施内容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（一）遴选实施主体。</w:t>
      </w:r>
      <w:r>
        <w:rPr>
          <w:rFonts w:ascii="仿宋" w:eastAsia="方正仿宋_GBK" w:cs="方正仿宋_GBK" w:hAnsi="仿宋" w:hint="eastAsia"/>
          <w:spacing w:val="-1"/>
          <w:sz w:val="32"/>
          <w:szCs w:val="32"/>
          <w:lang w:val="en-US" w:eastAsia="zh-CN"/>
        </w:rPr>
        <w:t>项目实施主体为供销合作社控股的社有企业、基层供销合作社等社会化服务组织，实施主体应具备以下条件：一是供销合作社持股比例不低于50%；二是具有农业社会化服务实施经验，原则上从事农业社会化服务两年以上；三是拥有或能调配与其服务业务范围、服务能力相匹配的专业农业机械设备、技术人员以及其他基础条件，确保项目能够顺利实施；四是在农民群众中享有良好的信誉，其所提供的服务在质量和价格方面受到服务对象的认可和好评；五是能够接受供销合作社、农业农村部门等管理部门的监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（二）服务作物种类及面积。</w:t>
      </w:r>
      <w:r>
        <w:rPr>
          <w:rFonts w:ascii="仿宋" w:eastAsia="方正仿宋_GBK" w:cs="方正仿宋_GBK" w:hAnsi="仿宋" w:hint="eastAsia"/>
          <w:spacing w:val="-1"/>
          <w:sz w:val="32"/>
          <w:szCs w:val="32"/>
          <w:lang w:val="en-US" w:eastAsia="zh-CN"/>
        </w:rPr>
        <w:t>围绕水稻、玉米、马铃薯、花生、甘薯、甘蔗、油菜等粮油糖作物开展社会化服务，重点支持深耕深松、集中育秧、合理密植、统防统治、施肥、秸杆处理、烘干等环节。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实施主体完成面积按照社会化服务“耕、种、防、收”各环节 面 积 系 数 加 权 计 算 得 出 ， 计 算 公 式 为 ：A=0.35A1+0.26A2+0.13A3+0.26A4（A 为项目绩效任务面积，A1、A2、A3、A4 分别为耕、种、防、收各环节服务面积。资金补助时按项目绩效任务面积 A 计算补助面积，无需拆分到单独环节面积计算补助面积）。不属于“耕、种、防、收”的服务环节，可根据市场价格折算服务系数，计算方法为：该环节服务系数=该环节市场价格/“耕、种、防、收”4 个环节市场总价格，每亩各环节系数总和超过 1 的按 1 计算。补助标准。单季作根据我县各环节作业的市场收费调查情况，设定相关环节系数核算标准如下：</w:t>
      </w:r>
    </w:p>
    <w:tbl>
      <w:tblPr>
        <w:jc w:val="left"/>
        <w:tblInd w:w="0" w:type="dxa"/>
        <w:tblW w:w="8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60"/>
        <w:gridCol w:w="3360"/>
        <w:gridCol w:w="1728"/>
        <w:gridCol w:w="2340"/>
      </w:tblGrid>
      <w:tr>
        <w:trPr>
          <w:trHeight w:val="567"/>
        </w:trPr>
        <w:tc>
          <w:tcPr>
            <w:tcW w:w="8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rPr>
            </w:pPr>
            <w:r>
              <w:rPr>
                <w:rFonts w:ascii="仿宋" w:eastAsia="仿宋" w:cs="仿宋" w:hint="eastAsia"/>
                <w:sz w:val="32"/>
                <w:szCs w:val="32"/>
              </w:rPr>
              <w:t>作物</w:t>
            </w: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rPr>
            </w:pPr>
            <w:r>
              <w:rPr>
                <w:rFonts w:ascii="仿宋" w:eastAsia="仿宋" w:cs="仿宋" w:hint="eastAsia"/>
                <w:sz w:val="32"/>
                <w:szCs w:val="32"/>
              </w:rPr>
              <w:t>作业环节</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lang w:val="en-US" w:eastAsia="zh-CN"/>
              </w:rPr>
            </w:pPr>
            <w:r>
              <w:rPr>
                <w:rFonts w:ascii="仿宋" w:eastAsia="仿宋" w:cs="仿宋" w:hint="eastAsia"/>
                <w:sz w:val="32"/>
                <w:szCs w:val="32"/>
              </w:rPr>
              <w:t>系数</w:t>
            </w:r>
            <w:r>
              <w:rPr>
                <w:rFonts w:ascii="仿宋" w:eastAsia="仿宋" w:cs="仿宋" w:hint="eastAsia"/>
                <w:sz w:val="32"/>
                <w:szCs w:val="32"/>
                <w:lang w:val="en-US" w:eastAsia="zh-CN"/>
              </w:rPr>
              <w:t>设定</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说明</w:t>
            </w:r>
          </w:p>
        </w:tc>
      </w:tr>
      <w:tr>
        <w:trPr>
          <w:trHeight w:val="567"/>
        </w:trPr>
        <w:tc>
          <w:tcPr>
            <w:tcW w:w="860" w:type="dxa"/>
            <w:vMerge w:val="restart"/>
            <w:tcBorders>
              <w:top w:val="nil"/>
              <w:left w:val="single" w:sz="2" w:space="0" w:color="000000"/>
              <w:bottom w:val="single" w:sz="2" w:space="0" w:color="000000"/>
              <w:right w:val="single" w:sz="2" w:space="0" w:color="000000"/>
            </w:tcBorders>
            <w:noWrap/>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Chars="0" w:firstLine="0"/>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水稻</w:t>
            </w:r>
          </w:p>
        </w:tc>
        <w:tc>
          <w:tcPr>
            <w:tcW w:w="33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center"/>
              <w:rPr>
                <w:rFonts w:ascii="仿宋" w:eastAsia="仿宋" w:cs="仿宋" w:hint="eastAsia"/>
                <w:sz w:val="28"/>
                <w:szCs w:val="28"/>
                <w:lang w:val="en-US" w:eastAsia="zh-CN" w:bidi="zh-CN"/>
              </w:rPr>
            </w:pPr>
            <w:r>
              <w:rPr>
                <w:rFonts w:ascii="仿宋" w:eastAsia="仿宋" w:cs="仿宋" w:hint="eastAsia"/>
                <w:sz w:val="28"/>
                <w:szCs w:val="28"/>
                <w:lang w:val="en-US" w:eastAsia="zh-CN"/>
              </w:rPr>
              <w:t>耙田</w:t>
            </w:r>
          </w:p>
        </w:tc>
        <w:tc>
          <w:tcPr>
            <w:tcW w:w="172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both"/>
              <w:rPr>
                <w:rFonts w:ascii="仿宋" w:eastAsia="仿宋" w:cs="仿宋" w:hint="eastAsia"/>
                <w:sz w:val="28"/>
                <w:szCs w:val="28"/>
                <w:lang w:val="zh-CN" w:eastAsia="zh-CN" w:bidi="zh-CN"/>
              </w:rPr>
            </w:pPr>
            <w:r>
              <w:rPr>
                <w:rFonts w:ascii="仿宋" w:eastAsia="仿宋" w:cs="仿宋" w:hint="eastAsia"/>
                <w:sz w:val="28"/>
                <w:szCs w:val="28"/>
                <w:lang w:val="en-US" w:eastAsia="zh-CN"/>
              </w:rPr>
              <w:t>0.36</w:t>
            </w:r>
          </w:p>
        </w:tc>
        <w:tc>
          <w:tcPr>
            <w:tcW w:w="23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center"/>
              <w:rPr>
                <w:rFonts w:ascii="仿宋" w:eastAsia="仿宋" w:cs="仿宋" w:hint="eastAsia"/>
                <w:sz w:val="28"/>
                <w:szCs w:val="28"/>
                <w:lang w:val="en-US" w:eastAsia="zh-CN" w:bidi="zh-CN"/>
              </w:rPr>
            </w:pP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32"/>
                <w:szCs w:val="32"/>
              </w:rPr>
            </w:pPr>
            <w:r>
              <w:rPr>
                <w:rFonts w:ascii="仿宋" w:eastAsia="仿宋" w:cs="仿宋" w:hint="eastAsia"/>
                <w:color w:val="auto"/>
                <w:sz w:val="28"/>
                <w:szCs w:val="28"/>
                <w:lang w:val="en-US" w:eastAsia="zh-CN"/>
              </w:rPr>
              <w:t>育秧、插秧</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32"/>
                <w:szCs w:val="32"/>
              </w:rPr>
            </w:pPr>
            <w:r>
              <w:rPr>
                <w:rFonts w:ascii="仿宋" w:eastAsia="仿宋" w:cs="仿宋" w:hint="eastAsia"/>
                <w:sz w:val="28"/>
                <w:szCs w:val="28"/>
              </w:rPr>
              <w:t>0.27</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仿宋" w:hint="eastAsia"/>
                <w:sz w:val="32"/>
                <w:szCs w:val="32"/>
                <w:lang w:val="en-US" w:eastAsia="zh-CN"/>
              </w:rPr>
            </w:pPr>
            <w:r>
              <w:rPr>
                <w:rFonts w:ascii="仿宋" w:eastAsia="仿宋" w:cs="仿宋" w:hint="eastAsia"/>
                <w:sz w:val="28"/>
                <w:szCs w:val="28"/>
                <w:lang w:val="en-US" w:eastAsia="zh-CN"/>
              </w:rPr>
              <w:t>与耙田成本相近</w:t>
            </w: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32"/>
                <w:szCs w:val="32"/>
                <w:lang w:val="en-US" w:eastAsia="zh-CN"/>
              </w:rPr>
            </w:pPr>
            <w:r>
              <w:rPr>
                <w:rFonts w:ascii="仿宋" w:eastAsia="仿宋" w:cs="仿宋" w:hint="eastAsia"/>
                <w:sz w:val="28"/>
                <w:szCs w:val="28"/>
                <w:lang w:val="en-US" w:eastAsia="zh-CN"/>
              </w:rPr>
              <w:t>病虫害专业化防治、施肥、除草</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32"/>
                <w:szCs w:val="32"/>
              </w:rPr>
            </w:pPr>
            <w:r>
              <w:rPr>
                <w:rFonts w:ascii="仿宋" w:eastAsia="仿宋" w:cs="仿宋" w:hint="eastAsia"/>
                <w:sz w:val="28"/>
                <w:szCs w:val="28"/>
              </w:rPr>
              <w:t>0.1</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仿宋" w:hint="eastAsia"/>
                <w:sz w:val="32"/>
                <w:szCs w:val="32"/>
                <w:lang w:val="en-US" w:eastAsia="zh-CN"/>
              </w:rPr>
            </w:pPr>
            <w:r>
              <w:rPr>
                <w:rFonts w:ascii="仿宋" w:eastAsia="仿宋" w:cs="Times New Roman"/>
                <w:sz w:val="28"/>
                <w:szCs w:val="28"/>
                <w:lang w:val="en-US" w:eastAsia="zh-CN"/>
              </w:rPr>
              <w:t>与</w:t>
            </w:r>
            <w:r>
              <w:rPr>
                <w:rFonts w:ascii="仿宋" w:eastAsia="仿宋" w:cs="Times New Roman" w:hint="eastAsia"/>
                <w:sz w:val="28"/>
                <w:szCs w:val="28"/>
                <w:lang w:val="en-US" w:eastAsia="zh-CN"/>
              </w:rPr>
              <w:t>病虫害专业化防治</w:t>
            </w:r>
            <w:r>
              <w:rPr>
                <w:rFonts w:ascii="仿宋" w:eastAsia="仿宋" w:cs="Times New Roman"/>
                <w:sz w:val="28"/>
                <w:szCs w:val="28"/>
                <w:lang w:val="en-US" w:eastAsia="zh-CN"/>
              </w:rPr>
              <w:t>成本</w:t>
            </w:r>
            <w:r>
              <w:rPr>
                <w:rFonts w:ascii="仿宋" w:eastAsia="仿宋" w:cs="Times New Roman" w:hint="eastAsia"/>
                <w:sz w:val="28"/>
                <w:szCs w:val="28"/>
                <w:lang w:val="en-US" w:eastAsia="zh-CN"/>
              </w:rPr>
              <w:t>相近</w:t>
            </w: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center"/>
              <w:rPr>
                <w:rFonts w:ascii="仿宋" w:eastAsia="仿宋" w:cs="仿宋" w:hint="eastAsia"/>
                <w:sz w:val="28"/>
                <w:szCs w:val="28"/>
              </w:rPr>
            </w:pPr>
            <w:r>
              <w:rPr>
                <w:rFonts w:ascii="仿宋" w:eastAsia="仿宋" w:cs="仿宋" w:hint="eastAsia"/>
                <w:sz w:val="28"/>
                <w:szCs w:val="28"/>
                <w:lang w:val="en-US" w:eastAsia="zh-CN"/>
              </w:rPr>
              <w:t>机收</w:t>
            </w:r>
          </w:p>
        </w:tc>
        <w:tc>
          <w:tcPr>
            <w:tcW w:w="1728"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jc w:val="both"/>
              <w:rPr>
                <w:rFonts w:ascii="仿宋" w:eastAsia="仿宋" w:cs="仿宋" w:hint="eastAsia"/>
                <w:sz w:val="28"/>
                <w:szCs w:val="28"/>
              </w:rPr>
            </w:pPr>
            <w:r>
              <w:rPr>
                <w:rFonts w:ascii="仿宋" w:eastAsia="仿宋" w:cs="仿宋" w:hint="eastAsia"/>
                <w:sz w:val="28"/>
                <w:szCs w:val="28"/>
                <w:lang w:val="en-US" w:eastAsia="zh-CN"/>
              </w:rPr>
              <w:t>0.27</w:t>
            </w:r>
          </w:p>
        </w:tc>
        <w:tc>
          <w:tcPr>
            <w:tcW w:w="2340" w:type="dxa"/>
            <w:tcBorders>
              <w:top w:val="single" w:sz="2" w:space="0" w:color="000000"/>
              <w:left w:val="single" w:sz="2" w:space="0" w:color="000000"/>
              <w:bottom w:val="single" w:sz="2" w:space="0" w:color="000000"/>
              <w:right w:val="single" w:sz="2" w:space="0" w:color="000000"/>
            </w:tcBorders>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仿宋" w:hint="eastAsia"/>
                <w:sz w:val="28"/>
                <w:szCs w:val="28"/>
                <w:lang w:val="en-US" w:eastAsia="zh-CN"/>
              </w:rPr>
            </w:pPr>
            <w:r>
              <w:rPr>
                <w:rFonts w:ascii="仿宋" w:eastAsia="仿宋" w:cs="仿宋" w:hint="eastAsia"/>
                <w:sz w:val="28"/>
                <w:szCs w:val="28"/>
                <w:lang w:val="en-US" w:eastAsia="zh-CN"/>
              </w:rPr>
              <w:t>与机耕成本相近</w:t>
            </w:r>
          </w:p>
        </w:tc>
      </w:tr>
      <w:tr>
        <w:trPr>
          <w:trHeight w:val="567"/>
        </w:trPr>
        <w:tc>
          <w:tcPr>
            <w:tcW w:w="860" w:type="dxa"/>
            <w:vMerge/>
            <w:tcBorders>
              <w:top w:val="single" w:sz="2" w:space="0" w:color="000000"/>
              <w:left w:val="single" w:sz="2" w:space="0" w:color="000000"/>
              <w:bottom w:val="single" w:sz="2" w:space="0" w:color="000000"/>
              <w:right w:val="single" w:sz="2" w:space="0" w:color="000000"/>
            </w:tcBorders>
            <w:noWrap/>
            <w:vAlign w:val="center"/>
          </w:tcPr>
          <w:p/>
        </w:tc>
        <w:tc>
          <w:tcPr>
            <w:tcW w:w="33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center"/>
              <w:rPr>
                <w:rFonts w:ascii="仿宋" w:eastAsia="仿宋" w:cs="仿宋" w:hint="eastAsia"/>
                <w:sz w:val="32"/>
                <w:szCs w:val="32"/>
                <w:lang w:val="en-US" w:eastAsia="zh-CN" w:bidi="zh-CN"/>
              </w:rPr>
            </w:pPr>
            <w:r>
              <w:rPr>
                <w:rFonts w:ascii="仿宋" w:eastAsia="仿宋" w:cs="仿宋" w:hint="eastAsia"/>
                <w:sz w:val="28"/>
                <w:szCs w:val="28"/>
              </w:rPr>
              <w:t>烘干</w:t>
            </w:r>
          </w:p>
        </w:tc>
        <w:tc>
          <w:tcPr>
            <w:tcW w:w="172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firstLineChars="200" w:firstLine="560"/>
              <w:jc w:val="both"/>
              <w:rPr>
                <w:rFonts w:ascii="仿宋" w:eastAsia="仿宋" w:cs="仿宋" w:hint="eastAsia"/>
                <w:sz w:val="28"/>
                <w:szCs w:val="28"/>
                <w:lang w:val="en-US" w:eastAsia="zh-CN" w:bidi="zh-CN"/>
              </w:rPr>
            </w:pPr>
            <w:r>
              <w:rPr>
                <w:rFonts w:ascii="仿宋" w:eastAsia="仿宋" w:cs="仿宋" w:hint="eastAsia"/>
                <w:sz w:val="28"/>
                <w:szCs w:val="28"/>
              </w:rPr>
              <w:t>0.27</w:t>
            </w:r>
          </w:p>
        </w:tc>
        <w:tc>
          <w:tcPr>
            <w:tcW w:w="23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pPr>
              <w:keepNext w:val="0"/>
              <w:keepLines w:val="0"/>
              <w:pageBreakBefore w:val="0"/>
              <w:widowControl w:val="0"/>
              <w:wordWrap/>
              <w:overflowPunct/>
              <w:topLinePunct w:val="0"/>
              <w:autoSpaceDE w:val="0"/>
              <w:autoSpaceDN w:val="0"/>
              <w:bidi w:val="0"/>
              <w:adjustRightInd w:val="0"/>
              <w:snapToGrid w:val="0"/>
              <w:spacing w:line="240" w:lineRule="auto"/>
              <w:ind w:left="0" w:firstLineChars="0" w:firstLine="0"/>
              <w:jc w:val="both"/>
              <w:rPr>
                <w:rFonts w:ascii="仿宋" w:eastAsia="仿宋" w:cs="仿宋" w:hint="eastAsia"/>
                <w:sz w:val="32"/>
                <w:szCs w:val="32"/>
                <w:lang w:val="en-US" w:eastAsia="zh-CN" w:bidi="zh-CN"/>
              </w:rPr>
            </w:pPr>
            <w:r>
              <w:rPr>
                <w:rFonts w:ascii="仿宋" w:eastAsia="仿宋" w:cs="仿宋" w:hint="eastAsia"/>
                <w:sz w:val="28"/>
                <w:szCs w:val="28"/>
                <w:lang w:val="en-US" w:eastAsia="zh-CN"/>
              </w:rPr>
              <w:t>与机耕成本相近</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 （三）补助标准。单季作物按照每亩不高于100元的标准进行补贴，原则上补贴额度不超过服务总费用的30%。项目资金可以补助给农户，也可补助给实施主体，安排服务小农户的补助资金或面积占比应高于60%。实施地区供销社要根据当地实际情况，分别确定服务小农户和服务规模经营主体的补助标准，服务单个规模经营主体享受项目补助资金总量不得超过10万元。原则上土地经营规模不超过当地户均承包地面积10倍的农业经营户可视作小农户，小农户承包地由村集体经济组织等集中后以托管方式直接经营或者统一委托给其他服务主体托管经营的，可视为服务对象是小农户，以适应广东现代农业适度规模经营需求，更好地保障粮食安全。实施主体为自己流转的土地实施的托管服务不纳入补贴范围。在尊重农户意愿的前提下，支持通过基层供销社、村两委、托管员、农村集体经济组织等统筹整合小农户分散的服务需求，统一对接服务主体发展适度规模经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本次中央财政农业社会化服务项目补助，不可与中央财政同类资金叠加使用，同一地块同一服务环节每造只能补助 1 次，不得在农业农村部门和供销部门重复领取补贴。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楷体_GBK" w:cs="方正楷体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 xml:space="preserve">（四）服务方式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1.签订服务合同。实施主体与服务对象签订服务合同，或依托广东数字供销农服平台生成服务订单，服务合同应包含服务价格、服务地块位置、服务面积（可根据服务轨迹确认）、服务内容、作业时间等内容。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2.提供作业服务。实施主体按照服务合同要求提供相关服务。为确保项目规范实施，保证服务效果，实施主体参与作业的农业机械原则上应安装农机作业轨迹记录设备（技术上无法安装的除外），并保留轨迹、照片等佐证材料。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3.服务对象确认。实施主体完成服务后，服务对象依据服务实施情况对服务内容进行确认，并填写对服务效果的满意度。实施主体应严格按照服务合同提供服务，服务对象满意度需达到80%以上。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4.项目验收及资金拨付。实施主体完成农业社会化服务后，及时向县供销联社提请验收，由县供销社组织农业农村部门、财政部门、镇政府、村集体及相关专家等组成验收小组进行验收，也可委托第三方专业机构进行验收。验收以服务合同、作业轨迹、作业图片、农户确认书、满意度调查表等材料为主要依据（如缺乏作业轨迹，可提供村委会证明等其他证明材料）。根据项目实施要求，2025年早造起实施的任务面积，可纳入本项目实施方案补助范围。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为加快推动 2025 年度中央财政资金农业社会化服务项目实施，减轻实施主体经营负担，县供销社经研究后可结合项目实施进度向遴选确定的实施主体及时拨付项目进度款，鼓励对实施主体实施的生产托管服务实行分批分环节验收支付，最终应按验收通过的项目绩效任务面积拨付补助资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 xml:space="preserve">5.项目总结。实施主体在项目实施完成后，应收集整理项目档案资料，及时并如实记录服务的时间、地点、作物、对象等信息，做好归档工作，档案要保存5年以上以备查。县供销联社做好项目实施总结，报市级供销社汇总后统一报省供销社备案。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楷体_GBK" w:cs="方正楷体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（五）加强服务质量监管。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仿宋_GBK" w:cs="方正仿宋_GBK" w:hAnsi="仿宋" w:hint="eastAsia"/>
          <w:spacing w:val="-1"/>
          <w:sz w:val="32"/>
          <w:szCs w:val="32"/>
          <w:lang w:val="en-US" w:eastAsia="zh-CN"/>
        </w:rPr>
        <w:t>县供销社要加强对服务价格、服务质量和服务合同的监管，根据耕种防收的序时进度对服务情况进行督促指导。县供销社及实施主体要加强宣传培训，发挥县镇村三级供销合作社优势，充分宣传项目实施目标、实施内容、补贴形式及补贴标准等，引导更多的村集体、农户参与到项目中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hAnsi="仿宋"/>
        </w:rPr>
      </w:pPr>
      <w:r>
        <w:rPr>
          <w:rFonts w:ascii="仿宋" w:eastAsia="方正楷体_GBK" w:cs="方正楷体_GBK" w:hAnsi="仿宋" w:hint="eastAsia"/>
          <w:spacing w:val="-1"/>
          <w:sz w:val="32"/>
          <w:szCs w:val="32"/>
          <w:lang w:val="en-US" w:eastAsia="zh-CN"/>
        </w:rPr>
        <w:t>（六）开展绩效评价。</w:t>
      </w:r>
      <w:r>
        <w:rPr>
          <w:rFonts w:ascii="仿宋" w:eastAsia="方正仿宋_GBK" w:cs="方正仿宋_GBK" w:hAnsi="仿宋" w:hint="eastAsia"/>
          <w:spacing w:val="-1"/>
          <w:sz w:val="32"/>
          <w:szCs w:val="32"/>
          <w:lang w:val="en-US" w:eastAsia="zh-CN"/>
        </w:rPr>
        <w:t xml:space="preserve">县供销联社要切实加强项目实施和资金使用的监督检查，对项目完成情况、实施效果、验收情况、资金使用和监管等情况开展绩效评价。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51" w:firstLineChars="0" w:hanging="11"/>
        <w:textAlignment w:val="auto"/>
        <w:rPr>
          <w:rFonts w:ascii="仿宋" w:eastAsia="方正黑体_GBK" w:cs="方正黑体_GBK" w:hAnsi="仿宋"/>
          <w:spacing w:val="7"/>
          <w:sz w:val="32"/>
          <w:szCs w:val="32"/>
        </w:rPr>
      </w:pPr>
      <w:r>
        <w:rPr>
          <w:rFonts w:ascii="仿宋" w:eastAsia="方正黑体_GBK" w:cs="方正黑体_GBK" w:hAnsi="仿宋"/>
          <w:spacing w:val="7"/>
          <w:sz w:val="32"/>
          <w:szCs w:val="32"/>
          <w:lang w:val="en-US" w:eastAsia="zh-CN"/>
        </w:rPr>
        <w:t xml:space="preserve">四、工作要求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（一）加强组织领导。</w:t>
      </w:r>
      <w:r>
        <w:rPr>
          <w:rFonts w:ascii="仿宋" w:eastAsia="方正仿宋_GBK" w:cs="方正仿宋_GBK" w:hAnsi="仿宋" w:hint="eastAsia"/>
          <w:spacing w:val="-1"/>
          <w:sz w:val="32"/>
          <w:szCs w:val="32"/>
          <w:lang w:val="en-US" w:eastAsia="zh-CN"/>
        </w:rPr>
        <w:t xml:space="preserve">明确目标任务、任务分工、完成时限，对项目实施情况进行定期调度，争取镇、村支持，积极协调推进农业社会化服务工作。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（二）加强项目管理。</w:t>
      </w:r>
      <w:r>
        <w:rPr>
          <w:rFonts w:ascii="仿宋" w:eastAsia="方正仿宋_GBK" w:cs="方正仿宋_GBK" w:hAnsi="仿宋" w:hint="eastAsia"/>
          <w:spacing w:val="-1"/>
          <w:sz w:val="32"/>
          <w:szCs w:val="32"/>
          <w:lang w:val="en-US" w:eastAsia="zh-CN"/>
        </w:rPr>
        <w:t>县供销联社切实履行主体责任，强化工作调度和实施监管，及时跟踪了解项目进展情况，要求</w:t>
      </w:r>
      <w:r>
        <w:rPr>
          <w:rFonts w:ascii="仿宋" w:eastAsia="方正仿宋_GBK" w:cs="方正仿宋_GBK" w:hAnsi="仿宋" w:hint="eastAsia"/>
          <w:color w:val="auto"/>
          <w:spacing w:val="-1"/>
          <w:sz w:val="32"/>
          <w:szCs w:val="32"/>
          <w:lang w:val="en-US" w:eastAsia="zh-CN"/>
          <w:highlight w:val="auto"/>
        </w:rPr>
        <w:t>实施主体需每月20日前向县供销社报送项目实施进度（附件1），</w:t>
      </w:r>
      <w:r>
        <w:rPr>
          <w:rFonts w:ascii="仿宋" w:eastAsia="方正仿宋_GBK" w:cs="方正仿宋_GBK" w:hAnsi="仿宋" w:hint="eastAsia"/>
          <w:spacing w:val="-1"/>
          <w:sz w:val="32"/>
          <w:szCs w:val="32"/>
          <w:lang w:val="en-US" w:eastAsia="zh-CN"/>
        </w:rPr>
        <w:t xml:space="preserve">确保项目任务目标高质量完成。加强对实施主体履约情况的监管，将服务对象的满意度作为衡量服务质量的重要依据。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 xml:space="preserve">（三）加强数据核验。 </w:t>
      </w:r>
      <w:r>
        <w:rPr>
          <w:rFonts w:ascii="仿宋" w:eastAsia="方正仿宋_GBK" w:cs="方正仿宋_GBK" w:hAnsi="仿宋" w:hint="eastAsia"/>
          <w:spacing w:val="-1"/>
          <w:sz w:val="32"/>
          <w:szCs w:val="32"/>
          <w:lang w:val="en-US" w:eastAsia="zh-CN"/>
        </w:rPr>
        <w:t xml:space="preserve">充分利用信息化技术，使用农机自带或外设的卫星定位设备所绘制的行程作业轨迹图，对实施主体的作业数据进行核验，以确保数据真实准确、可核查、可验证。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hint="eastAsia"/>
          <w:spacing w:val="-1"/>
          <w:sz w:val="32"/>
          <w:szCs w:val="32"/>
          <w:lang w:val="en-US" w:eastAsia="zh-CN"/>
        </w:rPr>
      </w:pPr>
      <w:r>
        <w:rPr>
          <w:rFonts w:ascii="仿宋" w:eastAsia="方正楷体_GBK" w:cs="方正楷体_GBK" w:hAnsi="仿宋" w:hint="eastAsia"/>
          <w:spacing w:val="-1"/>
          <w:sz w:val="32"/>
          <w:szCs w:val="32"/>
          <w:lang w:val="en-US" w:eastAsia="zh-CN"/>
        </w:rPr>
        <w:t>（四）严格资金管理。</w:t>
      </w:r>
      <w:r>
        <w:rPr>
          <w:rFonts w:ascii="仿宋" w:eastAsia="方正仿宋_GBK" w:cs="方正仿宋_GBK" w:hAnsi="仿宋" w:hint="eastAsia"/>
          <w:spacing w:val="-1"/>
          <w:sz w:val="32"/>
          <w:szCs w:val="32"/>
          <w:lang w:val="en-US" w:eastAsia="zh-CN"/>
        </w:rPr>
        <w:t xml:space="preserve">项目资金使用需严格按照相关文件精神和要求执行，严格遵守财会制度，确保专款专用，严禁挤占、截留、挪用，自觉接受上级监督和检查，确保资金使用合法、合理、安全、高效。 </w:t>
      </w:r>
    </w:p>
    <w:p>
      <w:pPr>
        <w:pStyle w:val="16"/>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Chars="200" w:firstLine="636"/>
        <w:textAlignment w:val="auto"/>
        <w:rPr>
          <w:rFonts w:ascii="仿宋" w:eastAsia="方正仿宋_GBK" w:cs="方正仿宋_GBK" w:hAnsi="仿宋"/>
          <w:spacing w:val="-1"/>
          <w:sz w:val="32"/>
          <w:szCs w:val="32"/>
          <w:lang w:val="en-US" w:eastAsia="zh-CN"/>
        </w:rPr>
      </w:pPr>
      <w:r>
        <w:rPr>
          <w:rFonts w:ascii="仿宋" w:eastAsia="方正仿宋_GBK" w:cs="方正仿宋_GBK" w:hAnsi="仿宋" w:hint="eastAsia"/>
          <w:spacing w:val="-1"/>
          <w:sz w:val="32"/>
          <w:szCs w:val="32"/>
          <w:lang w:val="en-US" w:eastAsia="zh-CN"/>
        </w:rPr>
        <w:t>附件1：东源县供销联社2025年中央财政资金农业生产社会化服务项目进度表</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left="0" w:firstLineChars="200" w:firstLine="572"/>
        <w:textAlignment w:val="baseline"/>
        <w:rPr>
          <w:rFonts w:ascii="仿宋" w:eastAsia="楷体" w:cs="Times New Roman" w:hAnsi="仿宋"/>
          <w:spacing w:val="3"/>
          <w:sz w:val="28"/>
          <w:szCs w:val="28"/>
        </w:rPr>
      </w:pPr>
    </w:p>
    <w:p>
      <w:pPr>
        <w:ind w:left="0" w:firstLineChars="0" w:firstLine="0"/>
        <w:rPr>
          <w:rFonts w:ascii="仿宋" w:hAnsi="仿宋"/>
          <w:lang w:val="en-US" w:eastAsia="zh-CN"/>
        </w:rPr>
        <w:sectPr>
          <w:footerReference w:type="default" r:id="rId2"/>
          <w:pgSz w:w="11906" w:h="16838"/>
          <w:pgMar w:top="1440" w:right="1800" w:bottom="1440" w:left="1800" w:header="851" w:footer="992" w:gutter="0"/>
          <w:pgNumType/>
          <w:docGrid w:type="lines" w:linePitch="312" w:charSpace="0"/>
        </w:sectPr>
      </w:pPr>
    </w:p>
    <w:p>
      <w:pPr>
        <w:pStyle w:val="16"/>
        <w:ind w:leftChars="0" w:left="0" w:firstLineChars="0" w:firstLine="0"/>
        <w:jc w:val="both"/>
        <w:rPr>
          <w:rFonts w:ascii="仿宋" w:eastAsia="方正仿宋_GBK" w:cs="方正仿宋_GBK" w:hAnsi="仿宋"/>
          <w:b/>
          <w:bCs/>
          <w:spacing w:val="-1"/>
          <w:sz w:val="32"/>
          <w:szCs w:val="32"/>
          <w:lang w:val="en-US" w:eastAsia="zh-CN"/>
        </w:rPr>
      </w:pPr>
      <w:r>
        <w:rPr>
          <w:rFonts w:ascii="仿宋" w:eastAsia="方正仿宋_GBK" w:cs="方正仿宋_GBK" w:hAnsi="仿宋" w:hint="eastAsia"/>
          <w:b/>
          <w:bCs/>
          <w:spacing w:val="-1"/>
          <w:sz w:val="32"/>
          <w:szCs w:val="32"/>
          <w:lang w:val="en-US" w:eastAsia="zh-CN"/>
        </w:rPr>
        <w:t>附件1</w:t>
      </w:r>
    </w:p>
    <w:p>
      <w:pPr>
        <w:pStyle w:val="16"/>
        <w:ind w:leftChars="0" w:left="0" w:firstLineChars="0" w:firstLine="0"/>
        <w:jc w:val="center"/>
        <w:rPr>
          <w:rFonts w:ascii="方正小标宋简体" w:eastAsia="方正小标宋简体" w:cs="方正小标宋简体" w:hint="eastAsia"/>
          <w:spacing w:val="-1"/>
          <w:sz w:val="44"/>
          <w:szCs w:val="44"/>
          <w:lang w:val="en-US" w:eastAsia="zh-CN"/>
        </w:rPr>
      </w:pPr>
      <w:r>
        <w:rPr>
          <w:rFonts w:ascii="方正小标宋简体" w:eastAsia="方正小标宋简体" w:cs="方正小标宋简体" w:hint="eastAsia"/>
          <w:spacing w:val="-1"/>
          <w:sz w:val="44"/>
          <w:szCs w:val="44"/>
          <w:lang w:val="en-US" w:eastAsia="zh-CN"/>
        </w:rPr>
        <w:t>东源县供销联社2025年中央财政资金农业生产社会化服务项目进度表</w:t>
      </w:r>
    </w:p>
    <w:p>
      <w:pPr>
        <w:ind w:left="0" w:firstLineChars="0" w:firstLine="0"/>
        <w:rPr>
          <w:rFonts w:ascii="方正仿宋_GBK" w:eastAsia="方正仿宋_GBK" w:cs="方正仿宋_GBK" w:hint="eastAsia"/>
          <w:spacing w:val="-1"/>
          <w:sz w:val="32"/>
          <w:szCs w:val="32"/>
          <w:lang w:val="en-US" w:eastAsia="zh-CN"/>
        </w:rPr>
      </w:pPr>
      <w:r>
        <w:rPr>
          <w:rFonts w:ascii="方正仿宋_GBK" w:eastAsia="方正仿宋_GBK" w:cs="方正仿宋_GBK" w:hint="eastAsia"/>
          <w:spacing w:val="-1"/>
          <w:sz w:val="32"/>
          <w:szCs w:val="32"/>
          <w:lang w:val="en-US" w:eastAsia="zh-CN"/>
        </w:rPr>
        <w:t>项目实施单位：       报送人：     联系电话：        报送时间：</w:t>
      </w:r>
    </w:p>
    <w:tbl>
      <w:tblPr>
        <w:jc w:val="left"/>
        <w:tblInd w:w="0" w:type="dxa"/>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0"/>
        <w:gridCol w:w="1525"/>
        <w:gridCol w:w="1437"/>
        <w:gridCol w:w="1452"/>
        <w:gridCol w:w="1769"/>
        <w:gridCol w:w="1863"/>
        <w:gridCol w:w="1974"/>
        <w:gridCol w:w="1736"/>
        <w:gridCol w:w="1690"/>
      </w:tblGrid>
      <w:tr>
        <w:tc>
          <w:tcPr>
            <w:tcW w:w="1070" w:type="dxa"/>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序号</w:t>
            </w:r>
          </w:p>
        </w:tc>
        <w:tc>
          <w:tcPr>
            <w:tcW w:w="1525" w:type="dxa"/>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作物种类</w:t>
            </w:r>
          </w:p>
        </w:tc>
        <w:tc>
          <w:tcPr>
            <w:tcW w:w="1437" w:type="dxa"/>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已拨付资金</w:t>
            </w:r>
          </w:p>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（万元）</w:t>
            </w:r>
          </w:p>
        </w:tc>
        <w:tc>
          <w:tcPr>
            <w:tcW w:w="1452" w:type="dxa"/>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补贴农户数</w:t>
            </w:r>
          </w:p>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（户）</w:t>
            </w:r>
          </w:p>
        </w:tc>
        <w:tc>
          <w:tcPr>
            <w:tcW w:w="1769" w:type="dxa"/>
            <w:vMerge w:val="restart"/>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服务核算面积</w:t>
            </w:r>
          </w:p>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（万亩）</w:t>
            </w:r>
          </w:p>
        </w:tc>
        <w:tc>
          <w:tcPr>
            <w:tcW w:w="7263" w:type="dxa"/>
            <w:gridSpan w:val="4"/>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其中</w:t>
            </w:r>
          </w:p>
        </w:tc>
      </w:tr>
      <w:tr>
        <w:tc>
          <w:tcPr>
            <w:tcW w:w="1070" w:type="dxa"/>
            <w:vMerge/>
            <w:tcBorders>
              <w:top w:val="single" w:sz="4" w:space="0" w:color="auto"/>
              <w:left w:val="single" w:sz="4" w:space="0" w:color="auto"/>
              <w:bottom w:val="single" w:sz="4" w:space="0" w:color="auto"/>
              <w:right w:val="single" w:sz="4" w:space="0" w:color="auto"/>
            </w:tcBorders>
            <w:noWrap/>
            <w:vAlign w:val="center"/>
          </w:tcPr>
          <w:p/>
        </w:tc>
        <w:tc>
          <w:tcPr>
            <w:tcW w:w="1525" w:type="dxa"/>
            <w:vMerge/>
            <w:tcBorders>
              <w:top w:val="single" w:sz="4" w:space="0" w:color="auto"/>
              <w:left w:val="single" w:sz="4" w:space="0" w:color="auto"/>
              <w:bottom w:val="single" w:sz="4" w:space="0" w:color="auto"/>
              <w:right w:val="single" w:sz="4" w:space="0" w:color="auto"/>
            </w:tcBorders>
            <w:noWrap/>
            <w:vAlign w:val="center"/>
          </w:tcPr>
          <w:p/>
        </w:tc>
        <w:tc>
          <w:tcPr>
            <w:tcW w:w="1437" w:type="dxa"/>
            <w:vMerge/>
            <w:tcBorders>
              <w:top w:val="single" w:sz="4" w:space="0" w:color="auto"/>
              <w:left w:val="single" w:sz="4" w:space="0" w:color="auto"/>
              <w:bottom w:val="single" w:sz="4" w:space="0" w:color="auto"/>
              <w:right w:val="single" w:sz="4" w:space="0" w:color="auto"/>
            </w:tcBorders>
            <w:noWrap/>
            <w:vAlign w:val="center"/>
          </w:tcPr>
          <w:p/>
        </w:tc>
        <w:tc>
          <w:tcPr>
            <w:tcW w:w="1452" w:type="dxa"/>
            <w:vMerge/>
            <w:tcBorders>
              <w:top w:val="single" w:sz="4" w:space="0" w:color="auto"/>
              <w:left w:val="single" w:sz="4" w:space="0" w:color="auto"/>
              <w:bottom w:val="single" w:sz="4" w:space="0" w:color="auto"/>
              <w:right w:val="single" w:sz="4" w:space="0" w:color="auto"/>
            </w:tcBorders>
            <w:noWrap/>
            <w:vAlign w:val="center"/>
          </w:tcPr>
          <w:p/>
        </w:tc>
        <w:tc>
          <w:tcPr>
            <w:tcW w:w="1769" w:type="dxa"/>
            <w:vMerge/>
            <w:tcBorders>
              <w:top w:val="single" w:sz="4" w:space="0" w:color="auto"/>
              <w:left w:val="single" w:sz="4" w:space="0" w:color="auto"/>
              <w:bottom w:val="single" w:sz="4" w:space="0" w:color="auto"/>
              <w:right w:val="single" w:sz="4" w:space="0" w:color="auto"/>
            </w:tcBorders>
            <w:noWrap/>
            <w:vAlign w:val="center"/>
          </w:tc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“耕”环节服务面积</w:t>
            </w: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“种”环节服务面积</w:t>
            </w: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“防”环节服务面积</w:t>
            </w: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“收”环节服务面积</w:t>
            </w:r>
          </w:p>
        </w:tc>
      </w:tr>
      <w:tr>
        <w:trPr>
          <w:trHeight w:val="567"/>
        </w:trPr>
        <w:tc>
          <w:tcPr>
            <w:tcW w:w="107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1</w:t>
            </w:r>
          </w:p>
        </w:tc>
        <w:tc>
          <w:tcPr>
            <w:tcW w:w="1525"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水稻</w:t>
            </w:r>
          </w:p>
        </w:tc>
        <w:tc>
          <w:tcPr>
            <w:tcW w:w="1437"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452"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69"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r>
      <w:tr>
        <w:trPr>
          <w:trHeight w:val="567"/>
        </w:trPr>
        <w:tc>
          <w:tcPr>
            <w:tcW w:w="107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2</w:t>
            </w:r>
          </w:p>
        </w:tc>
        <w:tc>
          <w:tcPr>
            <w:tcW w:w="1525"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玉米</w:t>
            </w:r>
          </w:p>
        </w:tc>
        <w:tc>
          <w:tcPr>
            <w:tcW w:w="1437"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452"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69"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r>
      <w:tr>
        <w:trPr>
          <w:trHeight w:val="567"/>
        </w:trPr>
        <w:tc>
          <w:tcPr>
            <w:tcW w:w="107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3</w:t>
            </w:r>
          </w:p>
        </w:tc>
        <w:tc>
          <w:tcPr>
            <w:tcW w:w="1525"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马铃薯</w:t>
            </w:r>
          </w:p>
        </w:tc>
        <w:tc>
          <w:tcPr>
            <w:tcW w:w="1437"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452"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69"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r>
      <w:tr>
        <w:trPr>
          <w:trHeight w:val="567"/>
        </w:trPr>
        <w:tc>
          <w:tcPr>
            <w:tcW w:w="107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4</w:t>
            </w:r>
          </w:p>
        </w:tc>
        <w:tc>
          <w:tcPr>
            <w:tcW w:w="1525"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花生</w:t>
            </w:r>
          </w:p>
        </w:tc>
        <w:tc>
          <w:tcPr>
            <w:tcW w:w="1437"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452"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69"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r>
      <w:tr>
        <w:trPr>
          <w:trHeight w:val="567"/>
        </w:trPr>
        <w:tc>
          <w:tcPr>
            <w:tcW w:w="107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5</w:t>
            </w:r>
          </w:p>
        </w:tc>
        <w:tc>
          <w:tcPr>
            <w:tcW w:w="1525"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甘薯</w:t>
            </w:r>
          </w:p>
        </w:tc>
        <w:tc>
          <w:tcPr>
            <w:tcW w:w="1437"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452"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69"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r>
      <w:tr>
        <w:trPr>
          <w:trHeight w:val="567"/>
        </w:trPr>
        <w:tc>
          <w:tcPr>
            <w:tcW w:w="107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525"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w:t>
            </w:r>
          </w:p>
        </w:tc>
        <w:tc>
          <w:tcPr>
            <w:tcW w:w="1437"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452"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69"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r>
      <w:tr>
        <w:trPr>
          <w:trHeight w:val="567"/>
        </w:trPr>
        <w:tc>
          <w:tcPr>
            <w:tcW w:w="107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525"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r>
              <w:rPr>
                <w:rFonts w:ascii="方正仿宋_GBK" w:eastAsia="方正仿宋_GBK" w:cs="方正仿宋_GBK" w:hint="eastAsia"/>
                <w:vertAlign w:val="baseline"/>
                <w:lang w:val="en-US" w:eastAsia="zh-CN"/>
              </w:rPr>
              <w:t>合计</w:t>
            </w:r>
          </w:p>
        </w:tc>
        <w:tc>
          <w:tcPr>
            <w:tcW w:w="1437"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452"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69"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863"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974"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736"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c>
          <w:tcPr>
            <w:tcW w:w="1690" w:type="dxa"/>
            <w:tcBorders>
              <w:top w:val="single" w:sz="4" w:space="0" w:color="auto"/>
              <w:left w:val="single" w:sz="4" w:space="0" w:color="auto"/>
              <w:bottom w:val="single" w:sz="4" w:space="0" w:color="auto"/>
              <w:right w:val="single" w:sz="4" w:space="0" w:color="auto"/>
            </w:tcBorders>
            <w:noWrap/>
            <w:vAlign w:val="center"/>
          </w:tcPr>
          <w:p>
            <w:pPr>
              <w:pStyle w:val="16"/>
              <w:keepNext w:val="0"/>
              <w:keepLines w:val="0"/>
              <w:pageBreakBefore w:val="0"/>
              <w:widowControl w:val="0"/>
              <w:kinsoku/>
              <w:wordWrap/>
              <w:overflowPunct/>
              <w:topLinePunct w:val="0"/>
              <w:autoSpaceDE w:val="0"/>
              <w:autoSpaceDN w:val="0"/>
              <w:bidi w:val="0"/>
              <w:adjustRightInd/>
              <w:snapToGrid/>
              <w:spacing w:after="0" w:line="400" w:lineRule="exact"/>
              <w:ind w:leftChars="0" w:left="0" w:firstLineChars="0" w:firstLine="0"/>
              <w:jc w:val="center"/>
              <w:textAlignment w:val="auto"/>
              <w:rPr>
                <w:rFonts w:ascii="方正仿宋_GBK" w:eastAsia="方正仿宋_GBK" w:cs="方正仿宋_GBK" w:hint="eastAsia"/>
                <w:vertAlign w:val="baseline"/>
                <w:lang w:val="en-US" w:eastAsia="zh-CN"/>
              </w:rPr>
            </w:pPr>
          </w:p>
        </w:tc>
      </w:tr>
    </w:tbl>
    <w:p>
      <w:pPr>
        <w:pStyle w:val="16"/>
        <w:keepNext w:val="0"/>
        <w:keepLines w:val="0"/>
        <w:pageBreakBefore w:val="0"/>
        <w:widowControl w:val="0"/>
        <w:kinsoku/>
        <w:wordWrap/>
        <w:overflowPunct/>
        <w:topLinePunct w:val="0"/>
        <w:autoSpaceDE w:val="0"/>
        <w:autoSpaceDN w:val="0"/>
        <w:bidi w:val="0"/>
        <w:adjustRightInd/>
        <w:snapToGrid/>
        <w:spacing w:after="0" w:line="460" w:lineRule="exact"/>
        <w:ind w:leftChars="0" w:left="0" w:firstLineChars="0" w:firstLine="0"/>
        <w:textAlignment w:val="auto"/>
        <w:rPr>
          <w:rFonts w:ascii="方正仿宋_GBK" w:eastAsia="方正仿宋_GBK" w:cs="方正仿宋_GBK" w:hint="eastAsia"/>
          <w:spacing w:val="-1"/>
          <w:sz w:val="32"/>
          <w:szCs w:val="32"/>
          <w:lang w:val="en-US" w:eastAsia="zh-CN"/>
        </w:rPr>
      </w:pPr>
      <w:r>
        <w:rPr>
          <w:rFonts w:ascii="方正仿宋_GBK" w:eastAsia="方正仿宋_GBK" w:cs="方正仿宋_GBK" w:hint="eastAsia"/>
          <w:lang w:val="en-US" w:eastAsia="zh-CN"/>
        </w:rPr>
        <w:t>备注：服务核算面积按照托管服务“耕、种、防、收”各环节面积系数加权计算出，计算公式为</w:t>
      </w:r>
      <w:r>
        <w:rPr>
          <w:rFonts w:ascii="方正仿宋_GBK" w:eastAsia="方正仿宋_GBK" w:cs="方正仿宋_GBK" w:hint="eastAsia"/>
          <w:spacing w:val="-1"/>
          <w:sz w:val="32"/>
          <w:szCs w:val="32"/>
          <w:lang w:val="en-US" w:eastAsia="zh-CN"/>
        </w:rPr>
        <w:t>A=0.35A1+0.26A2+0.13A3+0.26A4（A 为项目绩效任务面积，A1、A2、A3、A4 分别为耕、种、防、收各环节服务面积。</w:t>
      </w:r>
    </w:p>
    <w:p>
      <w:pPr>
        <w:keepNext w:val="0"/>
        <w:keepLines w:val="0"/>
        <w:pageBreakBefore w:val="0"/>
        <w:widowControl w:val="0"/>
        <w:kinsoku/>
        <w:wordWrap/>
        <w:overflowPunct/>
        <w:topLinePunct w:val="0"/>
        <w:autoSpaceDE w:val="0"/>
        <w:autoSpaceDN w:val="0"/>
        <w:bidi w:val="0"/>
        <w:adjustRightInd/>
        <w:snapToGrid/>
        <w:spacing w:line="460" w:lineRule="exact"/>
        <w:ind w:left="0" w:firstLineChars="0" w:firstLine="0"/>
        <w:textAlignment w:val="auto"/>
        <w:rPr>
          <w:lang w:val="en-US" w:eastAsia="zh-CN"/>
        </w:rPr>
      </w:pPr>
      <w:r>
        <w:rPr>
          <w:rFonts w:ascii="方正仿宋_GBK" w:eastAsia="方正仿宋_GBK" w:cs="方正仿宋_GBK" w:hint="eastAsia"/>
          <w:spacing w:val="-1"/>
          <w:sz w:val="32"/>
          <w:szCs w:val="32"/>
          <w:lang w:val="en-US" w:eastAsia="zh-CN"/>
        </w:rPr>
        <w:t>“耕、种、防、收”各环节面积按照实际服务面积报送。</w:t>
      </w:r>
    </w:p>
    <w:sectPr>
      <w:pgSz w:w="16838" w:h="11906" w:orient="landscape"/>
      <w:pgMar w:top="1134" w:right="1440" w:bottom="1134"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00" w:usb3="00000000" w:csb0="00040000" w:csb1="00000000"/>
  </w:font>
  <w:font w:name="宋体">
    <w:panose1 w:val="02010600030101010101"/>
    <w:charset w:val="7A"/>
    <w:family w:val="auto"/>
    <w:pitch w:val="variable"/>
    <w:sig w:usb0="00000203" w:usb1="288F0000" w:usb2="00000006" w:usb3="00000000" w:csb0="00040001" w:csb1="00000000"/>
  </w:font>
  <w:font w:name="Times New Roman">
    <w:panose1 w:val="02020603050405020304"/>
    <w:charset w:val="CC"/>
    <w:family w:val="roman"/>
    <w:pitch w:val="variable"/>
    <w:sig w:usb0="E0002EFF" w:usb1="C000785B" w:usb2="00000009" w:usb3="00000000" w:csb0="400001FF" w:csb1="FFFF0000"/>
  </w:font>
  <w:font w:name="方正仿宋_GBK">
    <w:altName w:val="微软雅黑"/>
    <w:panose1 w:val="03000509000000000000"/>
    <w:charset w:val="86"/>
    <w:family w:val="auto"/>
    <w:pitch w:val="variable"/>
    <w:sig w:usb0="00000001" w:usb1="080E0000" w:usb2="00000000" w:usb3="00000000" w:csb0="00040000" w:csb1="00000000"/>
  </w:font>
  <w:font w:name="方正黑体_GBK">
    <w:altName w:val="微软雅黑"/>
    <w:panose1 w:val="03000509000000000000"/>
    <w:charset w:val="86"/>
    <w:family w:val="auto"/>
    <w:pitch w:val="variable"/>
    <w:sig w:usb0="00000001" w:usb1="080E0000" w:usb2="00000000" w:usb3="00000000" w:csb0="00040000" w:csb1="00000000"/>
  </w:font>
  <w:font w:name="方正楷体_GBK">
    <w:altName w:val="微软雅黑"/>
    <w:panose1 w:val="03000509000000000000"/>
    <w:charset w:val="86"/>
    <w:family w:val="auto"/>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right</wp:align>
              </wp:positionH>
              <wp:positionV relativeFrom="paragraph">
                <wp:posOffset>0</wp:posOffset>
              </wp:positionV>
              <wp:extent cx="693735"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93735" cy="230251"/>
                      </a:xfrm>
                      <a:prstGeom prst="rect"/>
                      <a:noFill/>
                      <a:ln w="6350" cmpd="sng" cap="flat">
                        <a:noFill/>
                        <a:prstDash val="solid"/>
                        <a:round/>
                      </a:ln>
                    </wps:spPr>
                    <wps:txbx id="2">
                      <w:txbxContent>
                        <w:p>
                          <w:pPr>
                            <w:pStyle w:val="18"/>
                            <w:tabs>
                              <w:tab w:val="center" w:pos="4153"/>
                              <w:tab w:val="right" w:pos="8306"/>
                            </w:tabs>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4.62484pt;height:18.130003pt;z-index:12;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GZlNjkxYzU2NzlmYjhmYTgxNzI5NWQzOTI5ZGE1M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autoSpaceDE w:val="0"/>
      <w:autoSpaceDN w:val="0"/>
      <w:ind w:firstLineChars="200" w:firstLine="200"/>
      <w:jc w:val="both"/>
    </w:pPr>
    <w:rPr>
      <w:rFonts w:ascii="仿宋_GB2312" w:eastAsia="仿宋_GB2312" w:cs="仿宋_GB2312"/>
      <w:sz w:val="32"/>
      <w:szCs w:val="22"/>
      <w:lang w:val="zh-CN" w:eastAsia="zh-CN" w:bidi="zh-CN"/>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pPr>
      <w:adjustRightInd w:val="0"/>
      <w:snapToGrid w:val="0"/>
      <w:spacing w:line="360" w:lineRule="auto"/>
      <w:ind w:firstLineChars="200" w:firstLine="200"/>
    </w:pPr>
  </w:style>
  <w:style w:type="paragraph" w:styleId="16">
    <w:name w:val="Body Text First Indent 2"/>
    <w:basedOn w:val="15"/>
    <w:next w:val="0"/>
    <w:pPr>
      <w:adjustRightInd/>
      <w:snapToGrid/>
      <w:spacing w:after="120" w:line="240" w:lineRule="auto"/>
      <w:ind w:leftChars="200" w:left="200"/>
    </w:pPr>
  </w:style>
  <w:style w:type="paragraph" w:styleId="17">
    <w:name w:val="Body Text"/>
    <w:basedOn w:val="0"/>
    <w:rPr>
      <w:szCs w:val="32"/>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20">
    <w:name w:val="p0"/>
    <w:basedOn w:val="0"/>
    <w:pPr>
      <w:widowControl/>
    </w:pPr>
    <w:rPr>
      <w:rFonts w:ascii="Times New Roman" w:eastAsia="仿宋_GB2312" w:hAnsi="Times New Roman"/>
      <w:snapToGrid w:val="0"/>
      <w:kern w:val="0"/>
      <w:szCs w:val="21"/>
    </w:rPr>
  </w:style>
  <w:style w:type="paragraph" w:customStyle="1" w:styleId="21">
    <w:name w:val="列出段落2"/>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Yozo_Office27021597764231179</Application>
  <Pages>7</Pages>
  <Words>3387</Words>
  <Characters>3522</Characters>
  <Lines>250</Lines>
  <Paragraphs>78</Paragraphs>
  <CharactersWithSpaces>3589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藝少－焰火</dc:creator>
  <cp:lastModifiedBy>Administrator</cp:lastModifiedBy>
  <cp:revision>1</cp:revision>
  <dcterms:created xsi:type="dcterms:W3CDTF">2023-11-02T09:52:00Z</dcterms:created>
  <dcterms:modified xsi:type="dcterms:W3CDTF">2025-08-15T08:26:18Z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BBBF4CE57F5D3E8C1C4AC56663BBA517_43</vt:lpwstr>
  </property>
  <property fmtid="{D5CDD505-2E9C-101B-9397-08002B2CF9AE}" pid="4" name="KSOTemplateDocerSaveRecord">
    <vt:lpwstr>eyJoZGlkIjoiYmI3NzVlYzU5Y2UxM2Y4OGE3ZTI2YmExYmEzZDNlMDgiLCJ1c2VySWQiOiIxMDQ1MDM0MjA2In0=</vt:lpwstr>
  </property>
</Properties>
</file>