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114812">
      <w:pPr>
        <w:spacing w:line="400" w:lineRule="exact"/>
        <w:jc w:val="center"/>
        <w:rPr>
          <w:b/>
          <w:sz w:val="32"/>
          <w:szCs w:val="32"/>
        </w:rPr>
      </w:pPr>
      <w:r>
        <w:rPr>
          <w:rFonts w:hint="eastAsia"/>
          <w:b/>
          <w:sz w:val="32"/>
          <w:szCs w:val="32"/>
        </w:rPr>
        <w:t>东源深能环保有限公司东源县综合资源利用中心监时用地项目土地复垦工程初步验收意见</w:t>
      </w:r>
    </w:p>
    <w:p w14:paraId="2CD6DF1C">
      <w:pPr>
        <w:spacing w:line="400" w:lineRule="exact"/>
        <w:jc w:val="center"/>
        <w:rPr>
          <w:b/>
          <w:sz w:val="32"/>
          <w:szCs w:val="32"/>
        </w:rPr>
      </w:pPr>
    </w:p>
    <w:tbl>
      <w:tblPr>
        <w:tblStyle w:val="8"/>
        <w:tblW w:w="95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0"/>
        <w:gridCol w:w="1762"/>
        <w:gridCol w:w="7170"/>
      </w:tblGrid>
      <w:tr w14:paraId="2FBCF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620" w:type="dxa"/>
            <w:vAlign w:val="center"/>
          </w:tcPr>
          <w:p w14:paraId="28DA0981">
            <w:pPr>
              <w:spacing w:line="360" w:lineRule="exact"/>
              <w:jc w:val="center"/>
              <w:rPr>
                <w:rFonts w:asciiTheme="minorEastAsia" w:hAnsiTheme="minorEastAsia"/>
                <w:sz w:val="24"/>
              </w:rPr>
            </w:pPr>
            <w:r>
              <w:rPr>
                <w:rFonts w:hint="eastAsia" w:asciiTheme="minorEastAsia" w:hAnsiTheme="minorEastAsia"/>
                <w:sz w:val="24"/>
              </w:rPr>
              <w:t>1</w:t>
            </w:r>
          </w:p>
        </w:tc>
        <w:tc>
          <w:tcPr>
            <w:tcW w:w="1762" w:type="dxa"/>
            <w:vAlign w:val="center"/>
          </w:tcPr>
          <w:p w14:paraId="79805601">
            <w:pPr>
              <w:spacing w:line="360" w:lineRule="exact"/>
              <w:jc w:val="center"/>
              <w:rPr>
                <w:rFonts w:ascii="方正黑体_GBK" w:hAnsi="方正黑体_GBK" w:eastAsia="方正黑体_GBK" w:cs="方正黑体_GBK"/>
                <w:sz w:val="24"/>
              </w:rPr>
            </w:pPr>
            <w:r>
              <w:rPr>
                <w:rFonts w:hint="eastAsia" w:ascii="方正黑体_GBK" w:hAnsi="方正黑体_GBK" w:eastAsia="方正黑体_GBK" w:cs="方正黑体_GBK"/>
                <w:sz w:val="24"/>
              </w:rPr>
              <w:t>临时用地使用单位</w:t>
            </w:r>
          </w:p>
        </w:tc>
        <w:tc>
          <w:tcPr>
            <w:tcW w:w="7170" w:type="dxa"/>
            <w:vAlign w:val="center"/>
          </w:tcPr>
          <w:p w14:paraId="024A0E14">
            <w:pPr>
              <w:spacing w:line="360" w:lineRule="exact"/>
              <w:jc w:val="left"/>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rPr>
              <w:t>东源</w:t>
            </w:r>
            <w:r>
              <w:rPr>
                <w:rFonts w:hint="eastAsia" w:asciiTheme="minorEastAsia" w:hAnsiTheme="minorEastAsia" w:eastAsiaTheme="minorEastAsia" w:cstheme="minorEastAsia"/>
                <w:sz w:val="24"/>
                <w:lang w:val="en-US" w:eastAsia="zh-CN"/>
              </w:rPr>
              <w:t>深能环保有限公司</w:t>
            </w:r>
          </w:p>
        </w:tc>
      </w:tr>
      <w:tr w14:paraId="39210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620" w:type="dxa"/>
            <w:vAlign w:val="center"/>
          </w:tcPr>
          <w:p w14:paraId="63BE4F23">
            <w:pPr>
              <w:spacing w:line="360" w:lineRule="exact"/>
              <w:jc w:val="center"/>
              <w:rPr>
                <w:rFonts w:asciiTheme="minorEastAsia" w:hAnsiTheme="minorEastAsia"/>
                <w:sz w:val="24"/>
              </w:rPr>
            </w:pPr>
            <w:r>
              <w:rPr>
                <w:rFonts w:hint="eastAsia" w:asciiTheme="minorEastAsia" w:hAnsiTheme="minorEastAsia"/>
                <w:sz w:val="24"/>
              </w:rPr>
              <w:t>2</w:t>
            </w:r>
          </w:p>
        </w:tc>
        <w:tc>
          <w:tcPr>
            <w:tcW w:w="1762" w:type="dxa"/>
            <w:vAlign w:val="center"/>
          </w:tcPr>
          <w:p w14:paraId="0EC5ABDF">
            <w:pPr>
              <w:spacing w:line="360" w:lineRule="exact"/>
              <w:jc w:val="center"/>
              <w:rPr>
                <w:rFonts w:ascii="方正黑体_GBK" w:hAnsi="方正黑体_GBK" w:eastAsia="方正黑体_GBK" w:cs="方正黑体_GBK"/>
                <w:sz w:val="24"/>
              </w:rPr>
            </w:pPr>
            <w:r>
              <w:rPr>
                <w:rFonts w:hint="eastAsia" w:ascii="方正黑体_GBK" w:hAnsi="方正黑体_GBK" w:eastAsia="方正黑体_GBK" w:cs="方正黑体_GBK"/>
                <w:sz w:val="24"/>
              </w:rPr>
              <w:t>临时用地复垦地块名称</w:t>
            </w:r>
          </w:p>
        </w:tc>
        <w:tc>
          <w:tcPr>
            <w:tcW w:w="7170" w:type="dxa"/>
            <w:vAlign w:val="center"/>
          </w:tcPr>
          <w:p w14:paraId="48F83583">
            <w:pPr>
              <w:spacing w:line="360" w:lineRule="exact"/>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bCs/>
                <w:sz w:val="24"/>
              </w:rPr>
              <w:t>临时工棚</w:t>
            </w:r>
          </w:p>
        </w:tc>
      </w:tr>
      <w:tr w14:paraId="71F63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2" w:hRule="atLeast"/>
          <w:jc w:val="center"/>
        </w:trPr>
        <w:tc>
          <w:tcPr>
            <w:tcW w:w="620" w:type="dxa"/>
            <w:vAlign w:val="center"/>
          </w:tcPr>
          <w:p w14:paraId="3F29109C">
            <w:pPr>
              <w:spacing w:line="360" w:lineRule="exact"/>
              <w:jc w:val="center"/>
              <w:rPr>
                <w:rFonts w:asciiTheme="minorEastAsia" w:hAnsiTheme="minorEastAsia"/>
                <w:sz w:val="24"/>
              </w:rPr>
            </w:pPr>
            <w:r>
              <w:rPr>
                <w:rFonts w:hint="eastAsia" w:asciiTheme="minorEastAsia" w:hAnsiTheme="minorEastAsia"/>
                <w:sz w:val="24"/>
              </w:rPr>
              <w:t>3</w:t>
            </w:r>
          </w:p>
        </w:tc>
        <w:tc>
          <w:tcPr>
            <w:tcW w:w="1762" w:type="dxa"/>
            <w:vAlign w:val="center"/>
          </w:tcPr>
          <w:p w14:paraId="3369BC11">
            <w:pPr>
              <w:spacing w:line="360" w:lineRule="exact"/>
              <w:jc w:val="center"/>
              <w:rPr>
                <w:rFonts w:ascii="方正黑体_GBK" w:hAnsi="方正黑体_GBK" w:eastAsia="方正黑体_GBK" w:cs="方正黑体_GBK"/>
                <w:sz w:val="24"/>
              </w:rPr>
            </w:pPr>
            <w:r>
              <w:rPr>
                <w:rFonts w:hint="eastAsia" w:ascii="方正黑体_GBK" w:hAnsi="方正黑体_GBK" w:eastAsia="方正黑体_GBK" w:cs="方正黑体_GBK"/>
                <w:sz w:val="24"/>
              </w:rPr>
              <w:t>工程概况</w:t>
            </w:r>
          </w:p>
        </w:tc>
        <w:tc>
          <w:tcPr>
            <w:tcW w:w="7170" w:type="dxa"/>
            <w:vAlign w:val="center"/>
          </w:tcPr>
          <w:p w14:paraId="4BDD0D4B">
            <w:pPr>
              <w:spacing w:line="360" w:lineRule="exact"/>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r>
              <w:rPr>
                <w:rFonts w:hint="eastAsia" w:asciiTheme="minorEastAsia" w:hAnsiTheme="minorEastAsia" w:eastAsiaTheme="minorEastAsia" w:cstheme="minorEastAsia"/>
                <w:sz w:val="24"/>
                <w:lang w:eastAsia="zh-CN"/>
              </w:rPr>
              <w:t>东源深能环保有限公司东源县综合资源利用中心</w:t>
            </w:r>
            <w:r>
              <w:rPr>
                <w:rFonts w:hint="eastAsia" w:asciiTheme="minorEastAsia" w:hAnsiTheme="minorEastAsia" w:cstheme="minorEastAsia"/>
                <w:sz w:val="24"/>
                <w:lang w:val="en-US" w:eastAsia="zh-CN"/>
              </w:rPr>
              <w:t>临</w:t>
            </w:r>
            <w:bookmarkStart w:id="0" w:name="_GoBack"/>
            <w:bookmarkEnd w:id="0"/>
            <w:r>
              <w:rPr>
                <w:rFonts w:hint="eastAsia" w:asciiTheme="minorEastAsia" w:hAnsiTheme="minorEastAsia" w:eastAsiaTheme="minorEastAsia" w:cstheme="minorEastAsia"/>
                <w:sz w:val="24"/>
                <w:lang w:eastAsia="zh-CN"/>
              </w:rPr>
              <w:t>时用地项目</w:t>
            </w:r>
            <w:r>
              <w:rPr>
                <w:rFonts w:hint="eastAsia" w:asciiTheme="minorEastAsia" w:hAnsiTheme="minorEastAsia" w:eastAsiaTheme="minorEastAsia" w:cstheme="minorEastAsia"/>
                <w:sz w:val="24"/>
              </w:rPr>
              <w:t>土地复垦方案》由</w:t>
            </w:r>
            <w:r>
              <w:rPr>
                <w:rFonts w:hint="eastAsia" w:asciiTheme="minorEastAsia" w:hAnsiTheme="minorEastAsia" w:eastAsiaTheme="minorEastAsia" w:cstheme="minorEastAsia"/>
                <w:sz w:val="24"/>
                <w:lang w:val="en-US" w:eastAsia="zh-CN"/>
              </w:rPr>
              <w:t>粤奥（河源）规划设计咨询有限公司</w:t>
            </w:r>
            <w:r>
              <w:rPr>
                <w:rFonts w:hint="eastAsia" w:asciiTheme="minorEastAsia" w:hAnsiTheme="minorEastAsia" w:eastAsiaTheme="minorEastAsia" w:cstheme="minorEastAsia"/>
                <w:sz w:val="24"/>
              </w:rPr>
              <w:t>编制。本次申请验收的临时用地包含1个地块，位于</w:t>
            </w:r>
            <w:r>
              <w:rPr>
                <w:rFonts w:hint="eastAsia" w:asciiTheme="minorEastAsia" w:hAnsiTheme="minorEastAsia" w:cstheme="minorEastAsia"/>
                <w:sz w:val="24"/>
                <w:lang w:val="en-US" w:eastAsia="zh-CN"/>
              </w:rPr>
              <w:t>骆湖镇</w:t>
            </w:r>
            <w:r>
              <w:rPr>
                <w:rFonts w:hint="eastAsia" w:asciiTheme="minorEastAsia" w:hAnsiTheme="minorEastAsia" w:eastAsiaTheme="minorEastAsia" w:cstheme="minorEastAsia"/>
                <w:sz w:val="24"/>
                <w:lang w:val="en-US" w:eastAsia="zh-CN"/>
              </w:rPr>
              <w:t>致富林牧场</w:t>
            </w:r>
            <w:r>
              <w:rPr>
                <w:rFonts w:hint="eastAsia" w:asciiTheme="minorEastAsia" w:hAnsiTheme="minorEastAsia" w:eastAsiaTheme="minorEastAsia" w:cstheme="minorEastAsia"/>
                <w:sz w:val="24"/>
              </w:rPr>
              <w:t>，本次申请验收的临时用地，申请总面积0.</w:t>
            </w:r>
            <w:r>
              <w:rPr>
                <w:rFonts w:hint="eastAsia" w:asciiTheme="minorEastAsia" w:hAnsiTheme="minorEastAsia" w:eastAsiaTheme="minorEastAsia" w:cstheme="minorEastAsia"/>
                <w:sz w:val="24"/>
                <w:lang w:val="en-US" w:eastAsia="zh-CN"/>
              </w:rPr>
              <w:t>7765</w:t>
            </w:r>
            <w:r>
              <w:rPr>
                <w:rFonts w:hint="eastAsia" w:asciiTheme="minorEastAsia" w:hAnsiTheme="minorEastAsia" w:eastAsiaTheme="minorEastAsia" w:cstheme="minorEastAsia"/>
                <w:sz w:val="24"/>
              </w:rPr>
              <w:t>hm</w:t>
            </w:r>
            <w:r>
              <w:rPr>
                <w:rFonts w:hint="eastAsia" w:asciiTheme="minorEastAsia" w:hAnsiTheme="minorEastAsia" w:eastAsiaTheme="minorEastAsia" w:cstheme="minorEastAsia"/>
                <w:sz w:val="24"/>
                <w:vertAlign w:val="superscript"/>
              </w:rPr>
              <w:t>2</w:t>
            </w:r>
            <w:r>
              <w:rPr>
                <w:rFonts w:hint="eastAsia" w:asciiTheme="minorEastAsia" w:hAnsiTheme="minorEastAsia" w:eastAsiaTheme="minorEastAsia" w:cstheme="minorEastAsia"/>
                <w:sz w:val="24"/>
              </w:rPr>
              <w:t>，实际损毁面积为0.</w:t>
            </w:r>
            <w:r>
              <w:rPr>
                <w:rFonts w:hint="eastAsia" w:asciiTheme="minorEastAsia" w:hAnsiTheme="minorEastAsia" w:eastAsiaTheme="minorEastAsia" w:cstheme="minorEastAsia"/>
                <w:sz w:val="24"/>
                <w:lang w:val="en-US" w:eastAsia="zh-CN"/>
              </w:rPr>
              <w:t>8635</w:t>
            </w:r>
            <w:r>
              <w:rPr>
                <w:rFonts w:hint="eastAsia" w:asciiTheme="minorEastAsia" w:hAnsiTheme="minorEastAsia" w:eastAsiaTheme="minorEastAsia" w:cstheme="minorEastAsia"/>
                <w:sz w:val="24"/>
              </w:rPr>
              <w:t xml:space="preserve"> hm²，实际复垦面积为0.8</w:t>
            </w:r>
            <w:r>
              <w:rPr>
                <w:rFonts w:hint="eastAsia" w:asciiTheme="minorEastAsia" w:hAnsiTheme="minorEastAsia" w:eastAsiaTheme="minorEastAsia" w:cstheme="minorEastAsia"/>
                <w:sz w:val="24"/>
                <w:lang w:val="en-US" w:eastAsia="zh-CN"/>
              </w:rPr>
              <w:t>635</w:t>
            </w:r>
            <w:r>
              <w:rPr>
                <w:rFonts w:hint="eastAsia" w:asciiTheme="minorEastAsia" w:hAnsiTheme="minorEastAsia" w:eastAsiaTheme="minorEastAsia" w:cstheme="minorEastAsia"/>
                <w:sz w:val="24"/>
              </w:rPr>
              <w:t xml:space="preserve"> hm²，复垦目标地类为</w:t>
            </w:r>
            <w:r>
              <w:rPr>
                <w:rFonts w:hint="eastAsia" w:asciiTheme="minorEastAsia" w:hAnsiTheme="minorEastAsia" w:eastAsiaTheme="minorEastAsia" w:cstheme="minorEastAsia"/>
                <w:sz w:val="24"/>
                <w:lang w:val="en-US" w:eastAsia="zh-CN"/>
              </w:rPr>
              <w:t>林地</w:t>
            </w:r>
            <w:r>
              <w:rPr>
                <w:rFonts w:hint="eastAsia" w:asciiTheme="minorEastAsia" w:hAnsiTheme="minorEastAsia" w:eastAsiaTheme="minorEastAsia" w:cstheme="minorEastAsia"/>
                <w:sz w:val="24"/>
              </w:rPr>
              <w:t>。</w:t>
            </w:r>
          </w:p>
        </w:tc>
      </w:tr>
      <w:tr w14:paraId="779ED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5" w:hRule="atLeast"/>
          <w:jc w:val="center"/>
        </w:trPr>
        <w:tc>
          <w:tcPr>
            <w:tcW w:w="620" w:type="dxa"/>
            <w:vAlign w:val="center"/>
          </w:tcPr>
          <w:p w14:paraId="6E10D10D">
            <w:pPr>
              <w:spacing w:line="360" w:lineRule="exact"/>
              <w:jc w:val="center"/>
              <w:rPr>
                <w:rFonts w:asciiTheme="minorEastAsia" w:hAnsiTheme="minorEastAsia"/>
                <w:sz w:val="24"/>
              </w:rPr>
            </w:pPr>
            <w:r>
              <w:rPr>
                <w:rFonts w:hint="eastAsia" w:asciiTheme="minorEastAsia" w:hAnsiTheme="minorEastAsia"/>
                <w:sz w:val="24"/>
              </w:rPr>
              <w:t>4</w:t>
            </w:r>
          </w:p>
        </w:tc>
        <w:tc>
          <w:tcPr>
            <w:tcW w:w="1762" w:type="dxa"/>
            <w:vAlign w:val="center"/>
          </w:tcPr>
          <w:p w14:paraId="31678158">
            <w:pPr>
              <w:spacing w:line="360" w:lineRule="exact"/>
              <w:jc w:val="center"/>
              <w:rPr>
                <w:rFonts w:ascii="方正黑体_GBK" w:hAnsi="方正黑体_GBK" w:eastAsia="方正黑体_GBK" w:cs="方正黑体_GBK"/>
                <w:sz w:val="24"/>
              </w:rPr>
            </w:pPr>
            <w:r>
              <w:rPr>
                <w:rFonts w:hint="eastAsia" w:ascii="方正黑体_GBK" w:hAnsi="方正黑体_GBK" w:eastAsia="方正黑体_GBK" w:cs="方正黑体_GBK"/>
                <w:sz w:val="24"/>
              </w:rPr>
              <w:t>施工过程</w:t>
            </w:r>
          </w:p>
        </w:tc>
        <w:tc>
          <w:tcPr>
            <w:tcW w:w="7170" w:type="dxa"/>
            <w:vAlign w:val="center"/>
          </w:tcPr>
          <w:p w14:paraId="117578B1">
            <w:pPr>
              <w:spacing w:line="360" w:lineRule="exact"/>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复垦工程从202</w:t>
            </w:r>
            <w:r>
              <w:rPr>
                <w:rFonts w:hint="eastAsia" w:asciiTheme="minorEastAsia" w:hAnsiTheme="minorEastAsia" w:cstheme="minorEastAsia"/>
                <w:sz w:val="24"/>
                <w:lang w:val="en-US" w:eastAsia="zh-CN"/>
              </w:rPr>
              <w:t>5</w:t>
            </w:r>
            <w:r>
              <w:rPr>
                <w:rFonts w:hint="eastAsia" w:asciiTheme="minorEastAsia" w:hAnsiTheme="minorEastAsia" w:eastAsiaTheme="minorEastAsia" w:cstheme="minorEastAsia"/>
                <w:sz w:val="24"/>
              </w:rPr>
              <w:t>年</w:t>
            </w:r>
            <w:r>
              <w:rPr>
                <w:rFonts w:hint="eastAsia" w:asciiTheme="minorEastAsia" w:hAnsiTheme="minorEastAsia" w:cstheme="minorEastAsia"/>
                <w:sz w:val="24"/>
                <w:lang w:val="en-US" w:eastAsia="zh-CN"/>
              </w:rPr>
              <w:t>4</w:t>
            </w:r>
            <w:r>
              <w:rPr>
                <w:rFonts w:hint="eastAsia" w:asciiTheme="minorEastAsia" w:hAnsiTheme="minorEastAsia" w:eastAsiaTheme="minorEastAsia" w:cstheme="minorEastAsia"/>
                <w:sz w:val="24"/>
              </w:rPr>
              <w:t>月开工至202</w:t>
            </w:r>
            <w:r>
              <w:rPr>
                <w:rFonts w:hint="eastAsia" w:asciiTheme="minorEastAsia" w:hAnsiTheme="minorEastAsia" w:eastAsiaTheme="minorEastAsia" w:cstheme="minorEastAsia"/>
                <w:sz w:val="24"/>
                <w:lang w:val="en-US" w:eastAsia="zh-CN"/>
              </w:rPr>
              <w:t>5</w:t>
            </w:r>
            <w:r>
              <w:rPr>
                <w:rFonts w:hint="eastAsia" w:asciiTheme="minorEastAsia" w:hAnsiTheme="minorEastAsia" w:eastAsiaTheme="minorEastAsia" w:cstheme="minorEastAsia"/>
                <w:sz w:val="24"/>
              </w:rPr>
              <w:t>年</w:t>
            </w:r>
            <w:r>
              <w:rPr>
                <w:rFonts w:hint="eastAsia" w:asciiTheme="minorEastAsia" w:hAnsiTheme="minorEastAsia" w:cstheme="minorEastAsia"/>
                <w:sz w:val="24"/>
                <w:lang w:val="en-US" w:eastAsia="zh-CN"/>
              </w:rPr>
              <w:t>1</w:t>
            </w:r>
            <w:r>
              <w:rPr>
                <w:rFonts w:hint="eastAsia" w:asciiTheme="minorEastAsia" w:hAnsiTheme="minorEastAsia" w:eastAsiaTheme="minorEastAsia" w:cstheme="minorEastAsia"/>
                <w:sz w:val="24"/>
                <w:lang w:val="en-US" w:eastAsia="zh-CN"/>
              </w:rPr>
              <w:t>2</w:t>
            </w:r>
            <w:r>
              <w:rPr>
                <w:rFonts w:hint="eastAsia" w:asciiTheme="minorEastAsia" w:hAnsiTheme="minorEastAsia" w:eastAsiaTheme="minorEastAsia" w:cstheme="minorEastAsia"/>
                <w:sz w:val="24"/>
              </w:rPr>
              <w:t>月已完成复垦各项工作，通过土地平整工程（拆除建筑物、垃圾清运）、土壤改良工程（施肥、土地翻耕）、灌溉与排水工程（修筑排水沟、沉砂池）、植被重构工程，恢复了临时用地各地块原有生产条件。</w:t>
            </w:r>
          </w:p>
        </w:tc>
      </w:tr>
      <w:tr w14:paraId="06722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8" w:hRule="atLeast"/>
          <w:jc w:val="center"/>
        </w:trPr>
        <w:tc>
          <w:tcPr>
            <w:tcW w:w="620" w:type="dxa"/>
            <w:vAlign w:val="center"/>
          </w:tcPr>
          <w:p w14:paraId="2A9D4B46">
            <w:pPr>
              <w:spacing w:line="360" w:lineRule="exact"/>
              <w:jc w:val="center"/>
              <w:rPr>
                <w:rFonts w:asciiTheme="minorEastAsia" w:hAnsiTheme="minorEastAsia"/>
                <w:sz w:val="24"/>
              </w:rPr>
            </w:pPr>
            <w:r>
              <w:rPr>
                <w:rFonts w:hint="eastAsia" w:asciiTheme="minorEastAsia" w:hAnsiTheme="minorEastAsia"/>
                <w:sz w:val="24"/>
              </w:rPr>
              <w:t>5</w:t>
            </w:r>
          </w:p>
        </w:tc>
        <w:tc>
          <w:tcPr>
            <w:tcW w:w="1762" w:type="dxa"/>
            <w:vAlign w:val="center"/>
          </w:tcPr>
          <w:p w14:paraId="5D71F706">
            <w:pPr>
              <w:spacing w:line="360" w:lineRule="exact"/>
              <w:jc w:val="center"/>
              <w:rPr>
                <w:rFonts w:ascii="方正黑体_GBK" w:hAnsi="方正黑体_GBK" w:eastAsia="方正黑体_GBK" w:cs="方正黑体_GBK"/>
                <w:sz w:val="24"/>
              </w:rPr>
            </w:pPr>
            <w:r>
              <w:rPr>
                <w:rFonts w:hint="eastAsia" w:ascii="方正黑体_GBK" w:hAnsi="方正黑体_GBK" w:eastAsia="方正黑体_GBK" w:cs="方正黑体_GBK"/>
                <w:sz w:val="24"/>
              </w:rPr>
              <w:t>复垦任务完成情况</w:t>
            </w:r>
          </w:p>
        </w:tc>
        <w:tc>
          <w:tcPr>
            <w:tcW w:w="7170" w:type="dxa"/>
            <w:vAlign w:val="center"/>
          </w:tcPr>
          <w:p w14:paraId="5675C72F">
            <w:pPr>
              <w:spacing w:line="360" w:lineRule="exact"/>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临时工棚：应复垦工程量（修筑排水沟修筑</w:t>
            </w:r>
            <w:r>
              <w:rPr>
                <w:rFonts w:hint="eastAsia" w:asciiTheme="minorEastAsia" w:hAnsiTheme="minorEastAsia" w:cstheme="minorEastAsia"/>
                <w:sz w:val="24"/>
                <w:lang w:val="en-US" w:eastAsia="zh-CN"/>
              </w:rPr>
              <w:t>566</w:t>
            </w:r>
            <w:r>
              <w:rPr>
                <w:rFonts w:hint="eastAsia" w:asciiTheme="minorEastAsia" w:hAnsiTheme="minorEastAsia" w:eastAsiaTheme="minorEastAsia" w:cstheme="minorEastAsia"/>
                <w:sz w:val="24"/>
              </w:rPr>
              <w:t>m，修筑沉砂池</w:t>
            </w:r>
            <w:r>
              <w:rPr>
                <w:rFonts w:hint="eastAsia" w:asciiTheme="minorEastAsia" w:hAnsiTheme="minorEastAsia" w:cstheme="minorEastAsia"/>
                <w:sz w:val="24"/>
                <w:lang w:val="en-US" w:eastAsia="zh-CN"/>
              </w:rPr>
              <w:t>3</w:t>
            </w:r>
            <w:r>
              <w:rPr>
                <w:rFonts w:hint="eastAsia" w:asciiTheme="minorEastAsia" w:hAnsiTheme="minorEastAsia" w:eastAsiaTheme="minorEastAsia" w:cstheme="minorEastAsia"/>
                <w:sz w:val="24"/>
              </w:rPr>
              <w:t>个，拆除建筑物及垃圾清运</w:t>
            </w:r>
            <w:r>
              <w:rPr>
                <w:rFonts w:hint="eastAsia" w:asciiTheme="minorEastAsia" w:hAnsiTheme="minorEastAsia" w:eastAsiaTheme="minorEastAsia" w:cstheme="minorEastAsia"/>
                <w:sz w:val="24"/>
                <w:lang w:val="en-US" w:eastAsia="zh-CN"/>
              </w:rPr>
              <w:t>645</w:t>
            </w:r>
            <w:r>
              <w:rPr>
                <w:rFonts w:hint="eastAsia" w:asciiTheme="minorEastAsia" w:hAnsiTheme="minorEastAsia" w:eastAsiaTheme="minorEastAsia" w:cstheme="minorEastAsia"/>
                <w:sz w:val="24"/>
              </w:rPr>
              <w:t>m</w:t>
            </w:r>
            <w:r>
              <w:rPr>
                <w:rFonts w:hint="eastAsia" w:asciiTheme="minorEastAsia" w:hAnsiTheme="minorEastAsia" w:eastAsiaTheme="minorEastAsia" w:cstheme="minorEastAsia"/>
                <w:sz w:val="24"/>
                <w:vertAlign w:val="superscript"/>
              </w:rPr>
              <w:t>3</w:t>
            </w:r>
            <w:r>
              <w:rPr>
                <w:rFonts w:hint="eastAsia" w:asciiTheme="minorEastAsia" w:hAnsiTheme="minorEastAsia" w:eastAsiaTheme="minorEastAsia" w:cstheme="minorEastAsia"/>
                <w:sz w:val="24"/>
              </w:rPr>
              <w:t>，土地翻耕0.8</w:t>
            </w:r>
            <w:r>
              <w:rPr>
                <w:rFonts w:hint="eastAsia" w:asciiTheme="minorEastAsia" w:hAnsiTheme="minorEastAsia" w:eastAsiaTheme="minorEastAsia" w:cstheme="minorEastAsia"/>
                <w:sz w:val="24"/>
                <w:lang w:val="en-US" w:eastAsia="zh-CN"/>
              </w:rPr>
              <w:t>635</w:t>
            </w:r>
            <w:r>
              <w:rPr>
                <w:rFonts w:hint="eastAsia" w:asciiTheme="minorEastAsia" w:hAnsiTheme="minorEastAsia" w:eastAsiaTheme="minorEastAsia" w:cstheme="minorEastAsia"/>
                <w:sz w:val="24"/>
              </w:rPr>
              <w:t xml:space="preserve"> hm</w:t>
            </w:r>
            <w:r>
              <w:rPr>
                <w:rFonts w:hint="eastAsia" w:asciiTheme="minorEastAsia" w:hAnsiTheme="minorEastAsia" w:eastAsiaTheme="minorEastAsia" w:cstheme="minorEastAsia"/>
                <w:sz w:val="24"/>
                <w:vertAlign w:val="superscript"/>
              </w:rPr>
              <w:t>2</w:t>
            </w:r>
            <w:r>
              <w:rPr>
                <w:rFonts w:hint="eastAsia" w:asciiTheme="minorEastAsia" w:hAnsiTheme="minorEastAsia" w:eastAsiaTheme="minorEastAsia" w:cstheme="minorEastAsia"/>
                <w:sz w:val="24"/>
              </w:rPr>
              <w:t>，施有机肥</w:t>
            </w:r>
            <w:r>
              <w:rPr>
                <w:rFonts w:hint="eastAsia" w:asciiTheme="minorEastAsia" w:hAnsiTheme="minorEastAsia" w:eastAsiaTheme="minorEastAsia" w:cstheme="minorEastAsia"/>
                <w:sz w:val="24"/>
                <w:lang w:val="en-US" w:eastAsia="zh-CN"/>
              </w:rPr>
              <w:t>13.98</w:t>
            </w:r>
            <w:r>
              <w:rPr>
                <w:rFonts w:hint="eastAsia" w:asciiTheme="minorEastAsia" w:hAnsiTheme="minorEastAsia" w:eastAsiaTheme="minorEastAsia" w:cstheme="minorEastAsia"/>
                <w:sz w:val="24"/>
              </w:rPr>
              <w:t>t，种植</w:t>
            </w:r>
            <w:r>
              <w:rPr>
                <w:rFonts w:hint="eastAsia" w:asciiTheme="minorEastAsia" w:hAnsiTheme="minorEastAsia" w:eastAsiaTheme="minorEastAsia" w:cstheme="minorEastAsia"/>
                <w:sz w:val="24"/>
                <w:lang w:val="en-US" w:eastAsia="zh-CN"/>
              </w:rPr>
              <w:t>乔木</w:t>
            </w:r>
            <w:r>
              <w:rPr>
                <w:rFonts w:hint="eastAsia" w:asciiTheme="minorEastAsia" w:hAnsiTheme="minorEastAsia" w:cstheme="minorEastAsia"/>
                <w:sz w:val="24"/>
                <w:lang w:val="en-US" w:eastAsia="zh-CN"/>
              </w:rPr>
              <w:t>863</w:t>
            </w:r>
            <w:r>
              <w:rPr>
                <w:rFonts w:hint="eastAsia" w:asciiTheme="minorEastAsia" w:hAnsiTheme="minorEastAsia" w:eastAsiaTheme="minorEastAsia" w:cstheme="minorEastAsia"/>
                <w:sz w:val="24"/>
              </w:rPr>
              <w:t>株）。</w:t>
            </w:r>
          </w:p>
          <w:p w14:paraId="0053E3E7">
            <w:pPr>
              <w:spacing w:line="360" w:lineRule="exact"/>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已按要求完成复垦工程量，土壤检测结果符合相关标准。</w:t>
            </w:r>
          </w:p>
        </w:tc>
      </w:tr>
      <w:tr w14:paraId="68644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20" w:type="dxa"/>
            <w:vAlign w:val="center"/>
          </w:tcPr>
          <w:p w14:paraId="515BAD33">
            <w:pPr>
              <w:spacing w:line="360" w:lineRule="exact"/>
              <w:jc w:val="center"/>
              <w:rPr>
                <w:rFonts w:asciiTheme="minorEastAsia" w:hAnsiTheme="minorEastAsia"/>
                <w:sz w:val="24"/>
              </w:rPr>
            </w:pPr>
            <w:r>
              <w:rPr>
                <w:rFonts w:hint="eastAsia" w:asciiTheme="minorEastAsia" w:hAnsiTheme="minorEastAsia"/>
                <w:sz w:val="24"/>
              </w:rPr>
              <w:t>6</w:t>
            </w:r>
          </w:p>
        </w:tc>
        <w:tc>
          <w:tcPr>
            <w:tcW w:w="1762" w:type="dxa"/>
            <w:vAlign w:val="center"/>
          </w:tcPr>
          <w:p w14:paraId="79444B5A">
            <w:pPr>
              <w:spacing w:line="360" w:lineRule="exact"/>
              <w:jc w:val="center"/>
              <w:rPr>
                <w:rFonts w:ascii="方正黑体_GBK" w:hAnsi="方正黑体_GBK" w:eastAsia="方正黑体_GBK" w:cs="方正黑体_GBK"/>
                <w:sz w:val="24"/>
              </w:rPr>
            </w:pPr>
            <w:r>
              <w:rPr>
                <w:rFonts w:hint="eastAsia" w:ascii="方正黑体_GBK" w:hAnsi="方正黑体_GBK" w:eastAsia="方正黑体_GBK" w:cs="方正黑体_GBK"/>
                <w:sz w:val="24"/>
              </w:rPr>
              <w:t>工程质量认定</w:t>
            </w:r>
          </w:p>
        </w:tc>
        <w:tc>
          <w:tcPr>
            <w:tcW w:w="7170" w:type="dxa"/>
            <w:vAlign w:val="center"/>
          </w:tcPr>
          <w:p w14:paraId="151CEDF3">
            <w:pPr>
              <w:spacing w:line="360" w:lineRule="exact"/>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土地复垦工作已按照原方案进行复垦，达到验收条件。</w:t>
            </w:r>
          </w:p>
        </w:tc>
      </w:tr>
      <w:tr w14:paraId="1AD20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1" w:hRule="atLeast"/>
          <w:jc w:val="center"/>
        </w:trPr>
        <w:tc>
          <w:tcPr>
            <w:tcW w:w="620" w:type="dxa"/>
            <w:vAlign w:val="center"/>
          </w:tcPr>
          <w:p w14:paraId="164F330A">
            <w:pPr>
              <w:spacing w:line="360" w:lineRule="exact"/>
              <w:jc w:val="center"/>
              <w:rPr>
                <w:rFonts w:asciiTheme="minorEastAsia" w:hAnsiTheme="minorEastAsia"/>
                <w:sz w:val="24"/>
              </w:rPr>
            </w:pPr>
            <w:r>
              <w:rPr>
                <w:rFonts w:hint="eastAsia" w:asciiTheme="minorEastAsia" w:hAnsiTheme="minorEastAsia"/>
                <w:sz w:val="24"/>
              </w:rPr>
              <w:t>7</w:t>
            </w:r>
          </w:p>
        </w:tc>
        <w:tc>
          <w:tcPr>
            <w:tcW w:w="1762" w:type="dxa"/>
            <w:vAlign w:val="center"/>
          </w:tcPr>
          <w:p w14:paraId="54DAD107">
            <w:pPr>
              <w:spacing w:line="360" w:lineRule="exact"/>
              <w:jc w:val="center"/>
              <w:rPr>
                <w:rFonts w:ascii="方正黑体_GBK" w:hAnsi="方正黑体_GBK" w:eastAsia="方正黑体_GBK" w:cs="方正黑体_GBK"/>
                <w:sz w:val="24"/>
              </w:rPr>
            </w:pPr>
            <w:r>
              <w:rPr>
                <w:rFonts w:hint="eastAsia" w:ascii="方正黑体_GBK" w:hAnsi="方正黑体_GBK" w:eastAsia="方正黑体_GBK" w:cs="方正黑体_GBK"/>
                <w:sz w:val="24"/>
              </w:rPr>
              <w:t>初步验收意见</w:t>
            </w:r>
          </w:p>
        </w:tc>
        <w:tc>
          <w:tcPr>
            <w:tcW w:w="7170" w:type="dxa"/>
            <w:vAlign w:val="center"/>
          </w:tcPr>
          <w:p w14:paraId="457A432A">
            <w:pPr>
              <w:spacing w:line="360" w:lineRule="exact"/>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县自然资源局会同县农业农村局、县林业局、市生态环境局东源分局等有关部门，组织邀请有关专家和</w:t>
            </w:r>
            <w:r>
              <w:rPr>
                <w:rFonts w:hint="eastAsia" w:asciiTheme="minorEastAsia" w:hAnsiTheme="minorEastAsia" w:cstheme="minorEastAsia"/>
                <w:sz w:val="24"/>
                <w:lang w:val="en-US" w:eastAsia="zh-CN"/>
              </w:rPr>
              <w:t>权属人</w:t>
            </w:r>
            <w:r>
              <w:rPr>
                <w:rFonts w:hint="eastAsia" w:asciiTheme="minorEastAsia" w:hAnsiTheme="minorEastAsia" w:eastAsiaTheme="minorEastAsia" w:cstheme="minorEastAsia"/>
                <w:sz w:val="24"/>
              </w:rPr>
              <w:t>代表，依据土地复垦方案、阶段土地复垦计划，对</w:t>
            </w:r>
            <w:r>
              <w:rPr>
                <w:rFonts w:hint="eastAsia" w:asciiTheme="minorEastAsia" w:hAnsiTheme="minorEastAsia" w:eastAsiaTheme="minorEastAsia" w:cstheme="minorEastAsia"/>
                <w:bCs/>
                <w:sz w:val="24"/>
              </w:rPr>
              <w:t>该临时用地复垦工作</w:t>
            </w:r>
            <w:r>
              <w:rPr>
                <w:rFonts w:hint="eastAsia" w:asciiTheme="minorEastAsia" w:hAnsiTheme="minorEastAsia" w:eastAsiaTheme="minorEastAsia" w:cstheme="minorEastAsia"/>
                <w:sz w:val="24"/>
              </w:rPr>
              <w:t>进行验收。经现场检查和查看相关资料，</w:t>
            </w:r>
            <w:r>
              <w:rPr>
                <w:rFonts w:hint="eastAsia" w:asciiTheme="minorEastAsia" w:hAnsiTheme="minorEastAsia" w:eastAsiaTheme="minorEastAsia" w:cstheme="minorEastAsia"/>
                <w:bCs/>
                <w:sz w:val="24"/>
              </w:rPr>
              <w:t>临时用地</w:t>
            </w:r>
            <w:r>
              <w:rPr>
                <w:rFonts w:hint="eastAsia" w:asciiTheme="minorEastAsia" w:hAnsiTheme="minorEastAsia" w:eastAsiaTheme="minorEastAsia" w:cstheme="minorEastAsia"/>
                <w:sz w:val="24"/>
              </w:rPr>
              <w:t>按复垦方案要求完成土地平整工程（拆除建筑物、垃圾清运）、土壤改良工程（施肥、土地翻耕）、灌溉与排水工程（修筑排水沟、沉砂池）、植被重构工程等工作，基本达到复垦目标要求，后期需持续做好管护工作，定期对地块作物生长情况进行监测及补种，到管护期结束时达到周边同等地类生产力水平。</w:t>
            </w:r>
          </w:p>
        </w:tc>
      </w:tr>
      <w:tr w14:paraId="20804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620" w:type="dxa"/>
            <w:vAlign w:val="center"/>
          </w:tcPr>
          <w:p w14:paraId="1CF265DF">
            <w:pPr>
              <w:spacing w:line="360" w:lineRule="exact"/>
              <w:jc w:val="center"/>
              <w:rPr>
                <w:rFonts w:asciiTheme="minorEastAsia" w:hAnsiTheme="minorEastAsia"/>
                <w:sz w:val="24"/>
              </w:rPr>
            </w:pPr>
            <w:r>
              <w:rPr>
                <w:rFonts w:hint="eastAsia" w:asciiTheme="minorEastAsia" w:hAnsiTheme="minorEastAsia"/>
                <w:sz w:val="24"/>
              </w:rPr>
              <w:t>8</w:t>
            </w:r>
          </w:p>
        </w:tc>
        <w:tc>
          <w:tcPr>
            <w:tcW w:w="1762" w:type="dxa"/>
            <w:vAlign w:val="center"/>
          </w:tcPr>
          <w:p w14:paraId="1D48F0B8">
            <w:pPr>
              <w:spacing w:line="360" w:lineRule="exact"/>
              <w:jc w:val="center"/>
              <w:rPr>
                <w:rFonts w:ascii="方正黑体_GBK" w:hAnsi="方正黑体_GBK" w:eastAsia="方正黑体_GBK" w:cs="方正黑体_GBK"/>
                <w:sz w:val="24"/>
              </w:rPr>
            </w:pPr>
            <w:r>
              <w:rPr>
                <w:rFonts w:hint="eastAsia" w:ascii="方正黑体_GBK" w:hAnsi="方正黑体_GBK" w:eastAsia="方正黑体_GBK" w:cs="方正黑体_GBK"/>
                <w:sz w:val="24"/>
              </w:rPr>
              <w:t>附件</w:t>
            </w:r>
          </w:p>
        </w:tc>
        <w:tc>
          <w:tcPr>
            <w:tcW w:w="7170" w:type="dxa"/>
            <w:vAlign w:val="center"/>
          </w:tcPr>
          <w:p w14:paraId="285E424F">
            <w:pPr>
              <w:spacing w:line="360" w:lineRule="exact"/>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bCs/>
                <w:sz w:val="24"/>
              </w:rPr>
              <w:t>临时用地红线范围、现场复垦照片</w:t>
            </w:r>
          </w:p>
        </w:tc>
      </w:tr>
    </w:tbl>
    <w:p w14:paraId="63C62221">
      <w:pPr>
        <w:numPr>
          <w:ilvl w:val="0"/>
          <w:numId w:val="1"/>
        </w:numPr>
        <w:spacing w:line="360" w:lineRule="exact"/>
      </w:pPr>
      <w:r>
        <w:rPr>
          <w:rFonts w:hint="eastAsia" w:ascii="方正黑体_GBK" w:hAnsi="方正黑体_GBK" w:eastAsia="方正黑体_GBK" w:cs="方正黑体_GBK"/>
          <w:bCs/>
          <w:sz w:val="32"/>
          <w:szCs w:val="32"/>
        </w:rPr>
        <w:t>红线范围</w:t>
      </w:r>
    </w:p>
    <w:p w14:paraId="0D278202">
      <w:pPr>
        <w:bidi w:val="0"/>
        <w:rPr>
          <w:rFonts w:hint="eastAsia" w:eastAsiaTheme="minorEastAsia"/>
          <w:lang w:eastAsia="zh-CN"/>
        </w:rPr>
      </w:pPr>
      <w:r>
        <w:rPr>
          <w:rFonts w:hint="eastAsia" w:eastAsiaTheme="minorEastAsia"/>
          <w:lang w:eastAsia="zh-CN"/>
        </w:rPr>
        <w:drawing>
          <wp:inline distT="0" distB="0" distL="114300" distR="114300">
            <wp:extent cx="5274310" cy="7464425"/>
            <wp:effectExtent l="0" t="0" r="2540" b="3175"/>
            <wp:docPr id="3" name="图片 3" descr="东源深能环保有限公司东源县综合资源利用中心监时用地项目土地复垦航拍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东源深能环保有限公司东源县综合资源利用中心监时用地项目土地复垦航拍图_01"/>
                    <pic:cNvPicPr>
                      <a:picLocks noChangeAspect="1"/>
                    </pic:cNvPicPr>
                  </pic:nvPicPr>
                  <pic:blipFill>
                    <a:blip r:embed="rId4"/>
                    <a:stretch>
                      <a:fillRect/>
                    </a:stretch>
                  </pic:blipFill>
                  <pic:spPr>
                    <a:xfrm>
                      <a:off x="0" y="0"/>
                      <a:ext cx="5274310" cy="7464425"/>
                    </a:xfrm>
                    <a:prstGeom prst="rect">
                      <a:avLst/>
                    </a:prstGeom>
                  </pic:spPr>
                </pic:pic>
              </a:graphicData>
            </a:graphic>
          </wp:inline>
        </w:drawing>
      </w:r>
    </w:p>
    <w:p w14:paraId="76CA6E37">
      <w:pPr>
        <w:pStyle w:val="6"/>
        <w:widowControl/>
      </w:pPr>
    </w:p>
    <w:p w14:paraId="150946AD">
      <w:pPr>
        <w:pStyle w:val="6"/>
        <w:widowControl/>
      </w:pPr>
    </w:p>
    <w:p w14:paraId="21C6811C">
      <w:pPr>
        <w:spacing w:line="360" w:lineRule="exact"/>
        <w:rPr>
          <w:rFonts w:ascii="方正黑体_GBK" w:hAnsi="方正黑体_GBK" w:eastAsia="方正黑体_GBK" w:cs="方正黑体_GBK"/>
          <w:bCs/>
          <w:sz w:val="32"/>
          <w:szCs w:val="32"/>
        </w:rPr>
      </w:pPr>
    </w:p>
    <w:p w14:paraId="6BB01A40">
      <w:pPr>
        <w:spacing w:line="360" w:lineRule="exact"/>
        <w:rPr>
          <w:rFonts w:ascii="方正黑体_GBK" w:hAnsi="方正黑体_GBK" w:eastAsia="方正黑体_GBK" w:cs="方正黑体_GBK"/>
          <w:sz w:val="32"/>
          <w:szCs w:val="32"/>
        </w:rPr>
      </w:pPr>
    </w:p>
    <w:p w14:paraId="4CE75947">
      <w:pPr>
        <w:spacing w:line="360" w:lineRule="exact"/>
        <w:rPr>
          <w:rFonts w:ascii="方正黑体_GBK" w:hAnsi="方正黑体_GBK" w:eastAsia="方正黑体_GBK" w:cs="方正黑体_GBK"/>
          <w:b/>
          <w:sz w:val="32"/>
          <w:szCs w:val="32"/>
        </w:rPr>
      </w:pPr>
      <w:r>
        <w:rPr>
          <w:rFonts w:hint="eastAsia" w:ascii="方正黑体_GBK" w:hAnsi="方正黑体_GBK" w:eastAsia="方正黑体_GBK" w:cs="方正黑体_GBK"/>
          <w:sz w:val="32"/>
          <w:szCs w:val="32"/>
        </w:rPr>
        <w:t>二、现场复垦照片</w:t>
      </w:r>
      <w:r>
        <w:rPr>
          <w:rFonts w:hint="eastAsia" w:ascii="方正黑体_GBK" w:hAnsi="方正黑体_GBK" w:eastAsia="方正黑体_GBK" w:cs="方正黑体_GBK"/>
          <w:b/>
          <w:sz w:val="32"/>
          <w:szCs w:val="32"/>
        </w:rPr>
        <w:t>：</w:t>
      </w:r>
    </w:p>
    <w:p w14:paraId="514E1257">
      <w:pPr>
        <w:bidi w:val="0"/>
        <w:rPr>
          <w:b/>
          <w:sz w:val="32"/>
          <w:szCs w:val="32"/>
        </w:rPr>
      </w:pPr>
      <w:r>
        <w:rPr>
          <w:rFonts w:hint="eastAsia" w:eastAsiaTheme="minorEastAsia"/>
          <w:lang w:eastAsia="zh-CN"/>
        </w:rPr>
        <w:drawing>
          <wp:inline distT="0" distB="0" distL="114300" distR="114300">
            <wp:extent cx="5264785" cy="3947160"/>
            <wp:effectExtent l="0" t="0" r="12065" b="15240"/>
            <wp:docPr id="4" name="图片 4" descr="999075460a3165c0ead055e93c5a48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99075460a3165c0ead055e93c5a482f"/>
                    <pic:cNvPicPr>
                      <a:picLocks noChangeAspect="1"/>
                    </pic:cNvPicPr>
                  </pic:nvPicPr>
                  <pic:blipFill>
                    <a:blip r:embed="rId5"/>
                    <a:stretch>
                      <a:fillRect/>
                    </a:stretch>
                  </pic:blipFill>
                  <pic:spPr>
                    <a:xfrm>
                      <a:off x="0" y="0"/>
                      <a:ext cx="5264785" cy="3947160"/>
                    </a:xfrm>
                    <a:prstGeom prst="rect">
                      <a:avLst/>
                    </a:prstGeom>
                  </pic:spPr>
                </pic:pic>
              </a:graphicData>
            </a:graphic>
          </wp:inline>
        </w:drawing>
      </w:r>
    </w:p>
    <w:p w14:paraId="70C7C92D">
      <w:pPr>
        <w:bidi w:val="0"/>
      </w:pPr>
    </w:p>
    <w:p w14:paraId="02D65EFD">
      <w:pPr>
        <w:pStyle w:val="6"/>
        <w:widowControl/>
        <w:rPr>
          <w:rFonts w:hint="eastAsia" w:eastAsiaTheme="minorEastAsia"/>
          <w:b/>
          <w:sz w:val="32"/>
          <w:szCs w:val="32"/>
          <w:lang w:eastAsia="zh-CN"/>
        </w:rPr>
      </w:pPr>
      <w:r>
        <w:rPr>
          <w:rFonts w:hint="eastAsia" w:eastAsiaTheme="minorEastAsia"/>
          <w:b/>
          <w:sz w:val="32"/>
          <w:szCs w:val="32"/>
          <w:lang w:eastAsia="zh-CN"/>
        </w:rPr>
        <w:drawing>
          <wp:inline distT="0" distB="0" distL="114300" distR="114300">
            <wp:extent cx="5264785" cy="3947160"/>
            <wp:effectExtent l="0" t="0" r="12065" b="15240"/>
            <wp:docPr id="5" name="图片 5" descr="369df9c97d3fe2ca6a116e9d94df6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69df9c97d3fe2ca6a116e9d94df6185"/>
                    <pic:cNvPicPr>
                      <a:picLocks noChangeAspect="1"/>
                    </pic:cNvPicPr>
                  </pic:nvPicPr>
                  <pic:blipFill>
                    <a:blip r:embed="rId6"/>
                    <a:stretch>
                      <a:fillRect/>
                    </a:stretch>
                  </pic:blipFill>
                  <pic:spPr>
                    <a:xfrm>
                      <a:off x="0" y="0"/>
                      <a:ext cx="5264785" cy="3947160"/>
                    </a:xfrm>
                    <a:prstGeom prst="rect">
                      <a:avLst/>
                    </a:prstGeom>
                  </pic:spPr>
                </pic:pic>
              </a:graphicData>
            </a:graphic>
          </wp:inline>
        </w:drawing>
      </w:r>
    </w:p>
    <w:p w14:paraId="068313FA">
      <w:pPr>
        <w:spacing w:line="360" w:lineRule="exact"/>
        <w:rPr>
          <w:b/>
          <w:sz w:val="32"/>
          <w:szCs w:val="32"/>
        </w:rPr>
      </w:pPr>
    </w:p>
    <w:sectPr>
      <w:pgSz w:w="11906" w:h="16838"/>
      <w:pgMar w:top="1134" w:right="1797" w:bottom="1134"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黑体_GBK">
    <w:panose1 w:val="03000509000000000000"/>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94D438"/>
    <w:multiLevelType w:val="singleLevel"/>
    <w:tmpl w:val="DF94D438"/>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yYmYyYzk0YWU1YmNmYzBlMTA4MGU5MDg5NzhiZTAifQ=="/>
  </w:docVars>
  <w:rsids>
    <w:rsidRoot w:val="004357A4"/>
    <w:rsid w:val="000146BA"/>
    <w:rsid w:val="00064D28"/>
    <w:rsid w:val="00071118"/>
    <w:rsid w:val="000871F1"/>
    <w:rsid w:val="000C2FBC"/>
    <w:rsid w:val="000E0C44"/>
    <w:rsid w:val="000E3C2D"/>
    <w:rsid w:val="000E4A70"/>
    <w:rsid w:val="00132C02"/>
    <w:rsid w:val="00167E12"/>
    <w:rsid w:val="001A418B"/>
    <w:rsid w:val="001B6BC7"/>
    <w:rsid w:val="001E1BE1"/>
    <w:rsid w:val="00207C35"/>
    <w:rsid w:val="0024401B"/>
    <w:rsid w:val="00253D97"/>
    <w:rsid w:val="00273C36"/>
    <w:rsid w:val="002B41F8"/>
    <w:rsid w:val="002D03C5"/>
    <w:rsid w:val="002E19A8"/>
    <w:rsid w:val="002F2CA2"/>
    <w:rsid w:val="002F4193"/>
    <w:rsid w:val="00312AB3"/>
    <w:rsid w:val="003277E9"/>
    <w:rsid w:val="003337CB"/>
    <w:rsid w:val="003347B4"/>
    <w:rsid w:val="003477F2"/>
    <w:rsid w:val="0036221F"/>
    <w:rsid w:val="003839F3"/>
    <w:rsid w:val="00392893"/>
    <w:rsid w:val="003A5B69"/>
    <w:rsid w:val="003C6ED0"/>
    <w:rsid w:val="003D2A96"/>
    <w:rsid w:val="003D5F68"/>
    <w:rsid w:val="004357A4"/>
    <w:rsid w:val="0045173C"/>
    <w:rsid w:val="00480278"/>
    <w:rsid w:val="00481FD5"/>
    <w:rsid w:val="004A6001"/>
    <w:rsid w:val="005067F0"/>
    <w:rsid w:val="00510C34"/>
    <w:rsid w:val="00521EB2"/>
    <w:rsid w:val="00525795"/>
    <w:rsid w:val="005402F3"/>
    <w:rsid w:val="0058007A"/>
    <w:rsid w:val="0058061B"/>
    <w:rsid w:val="005960A1"/>
    <w:rsid w:val="005A2DC9"/>
    <w:rsid w:val="005B1946"/>
    <w:rsid w:val="005C0EFA"/>
    <w:rsid w:val="005C7E7E"/>
    <w:rsid w:val="00624823"/>
    <w:rsid w:val="006663CD"/>
    <w:rsid w:val="006715EF"/>
    <w:rsid w:val="00674DC4"/>
    <w:rsid w:val="00676FFB"/>
    <w:rsid w:val="006D0AA4"/>
    <w:rsid w:val="006E36E2"/>
    <w:rsid w:val="006E5931"/>
    <w:rsid w:val="006F15F2"/>
    <w:rsid w:val="006F4EB9"/>
    <w:rsid w:val="00731A16"/>
    <w:rsid w:val="0074286C"/>
    <w:rsid w:val="0074698F"/>
    <w:rsid w:val="00794243"/>
    <w:rsid w:val="007C4A63"/>
    <w:rsid w:val="007D23B9"/>
    <w:rsid w:val="0080781A"/>
    <w:rsid w:val="00856B85"/>
    <w:rsid w:val="008578FB"/>
    <w:rsid w:val="00891C6E"/>
    <w:rsid w:val="008F0F78"/>
    <w:rsid w:val="0091463D"/>
    <w:rsid w:val="0094096B"/>
    <w:rsid w:val="00943021"/>
    <w:rsid w:val="009513ED"/>
    <w:rsid w:val="009547FE"/>
    <w:rsid w:val="00967681"/>
    <w:rsid w:val="00972B1F"/>
    <w:rsid w:val="009823D2"/>
    <w:rsid w:val="00995F0B"/>
    <w:rsid w:val="00A355BC"/>
    <w:rsid w:val="00A41946"/>
    <w:rsid w:val="00A5643D"/>
    <w:rsid w:val="00A931AF"/>
    <w:rsid w:val="00AA219B"/>
    <w:rsid w:val="00B10B66"/>
    <w:rsid w:val="00B11AED"/>
    <w:rsid w:val="00B95E62"/>
    <w:rsid w:val="00BB160D"/>
    <w:rsid w:val="00BF09B3"/>
    <w:rsid w:val="00C26BA4"/>
    <w:rsid w:val="00C768FF"/>
    <w:rsid w:val="00CB2CB8"/>
    <w:rsid w:val="00CD7BB9"/>
    <w:rsid w:val="00D07133"/>
    <w:rsid w:val="00D711B6"/>
    <w:rsid w:val="00D838B9"/>
    <w:rsid w:val="00D876E9"/>
    <w:rsid w:val="00DB36EB"/>
    <w:rsid w:val="00DC1647"/>
    <w:rsid w:val="00DE742E"/>
    <w:rsid w:val="00E73405"/>
    <w:rsid w:val="00E87FEF"/>
    <w:rsid w:val="00EA6A8B"/>
    <w:rsid w:val="00EA75EC"/>
    <w:rsid w:val="00EB5965"/>
    <w:rsid w:val="00EC4061"/>
    <w:rsid w:val="00ED75FD"/>
    <w:rsid w:val="00EE6E63"/>
    <w:rsid w:val="00F51FA2"/>
    <w:rsid w:val="00F87936"/>
    <w:rsid w:val="00F9773B"/>
    <w:rsid w:val="00FA4FF5"/>
    <w:rsid w:val="00FB0EC9"/>
    <w:rsid w:val="00FC312A"/>
    <w:rsid w:val="00FE1F32"/>
    <w:rsid w:val="00FE4011"/>
    <w:rsid w:val="00FF24C0"/>
    <w:rsid w:val="09FA4276"/>
    <w:rsid w:val="111C16BF"/>
    <w:rsid w:val="115E722E"/>
    <w:rsid w:val="1C3016E1"/>
    <w:rsid w:val="220B57DD"/>
    <w:rsid w:val="232F539D"/>
    <w:rsid w:val="238F72B6"/>
    <w:rsid w:val="25744A8F"/>
    <w:rsid w:val="29172D2B"/>
    <w:rsid w:val="2A6A6763"/>
    <w:rsid w:val="32E10FF3"/>
    <w:rsid w:val="36272A53"/>
    <w:rsid w:val="367D0E20"/>
    <w:rsid w:val="36D965BC"/>
    <w:rsid w:val="38D004F4"/>
    <w:rsid w:val="429338D8"/>
    <w:rsid w:val="4BC52D55"/>
    <w:rsid w:val="4C554521"/>
    <w:rsid w:val="4C8F6641"/>
    <w:rsid w:val="4F1835F7"/>
    <w:rsid w:val="519758C5"/>
    <w:rsid w:val="522346A4"/>
    <w:rsid w:val="53133F3B"/>
    <w:rsid w:val="554023D8"/>
    <w:rsid w:val="5630169C"/>
    <w:rsid w:val="594475B2"/>
    <w:rsid w:val="671756A4"/>
    <w:rsid w:val="728E539F"/>
    <w:rsid w:val="755328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3"/>
    <w:qFormat/>
    <w:uiPriority w:val="0"/>
    <w:rPr>
      <w:sz w:val="18"/>
      <w:szCs w:val="18"/>
    </w:rPr>
  </w:style>
  <w:style w:type="paragraph" w:styleId="4">
    <w:name w:val="footer"/>
    <w:basedOn w:val="1"/>
    <w:link w:val="11"/>
    <w:qFormat/>
    <w:uiPriority w:val="0"/>
    <w:pPr>
      <w:tabs>
        <w:tab w:val="center" w:pos="4153"/>
        <w:tab w:val="right" w:pos="8306"/>
      </w:tabs>
      <w:snapToGrid w:val="0"/>
      <w:jc w:val="left"/>
    </w:pPr>
    <w:rPr>
      <w:sz w:val="18"/>
      <w:szCs w:val="18"/>
    </w:rPr>
  </w:style>
  <w:style w:type="paragraph" w:styleId="5">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Autospacing="1" w:afterAutospacing="1"/>
      <w:jc w:val="left"/>
    </w:pPr>
    <w:rPr>
      <w:rFonts w:cs="Times New Roman"/>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
    <w:name w:val="页眉 Char"/>
    <w:basedOn w:val="9"/>
    <w:link w:val="5"/>
    <w:qFormat/>
    <w:uiPriority w:val="0"/>
    <w:rPr>
      <w:kern w:val="2"/>
      <w:sz w:val="18"/>
      <w:szCs w:val="18"/>
    </w:rPr>
  </w:style>
  <w:style w:type="character" w:customStyle="1" w:styleId="11">
    <w:name w:val="页脚 Char"/>
    <w:basedOn w:val="9"/>
    <w:link w:val="4"/>
    <w:qFormat/>
    <w:uiPriority w:val="0"/>
    <w:rPr>
      <w:kern w:val="2"/>
      <w:sz w:val="18"/>
      <w:szCs w:val="18"/>
    </w:rPr>
  </w:style>
  <w:style w:type="paragraph" w:styleId="12">
    <w:name w:val="List Paragraph"/>
    <w:basedOn w:val="1"/>
    <w:unhideWhenUsed/>
    <w:qFormat/>
    <w:uiPriority w:val="99"/>
    <w:pPr>
      <w:ind w:firstLine="420" w:firstLineChars="200"/>
    </w:pPr>
  </w:style>
  <w:style w:type="character" w:customStyle="1" w:styleId="13">
    <w:name w:val="批注框文本 Char"/>
    <w:basedOn w:val="9"/>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724</Words>
  <Characters>774</Characters>
  <Lines>6</Lines>
  <Paragraphs>1</Paragraphs>
  <TotalTime>87</TotalTime>
  <ScaleCrop>false</ScaleCrop>
  <LinksUpToDate>false</LinksUpToDate>
  <CharactersWithSpaces>777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2022-09-04T07:52:00Z</dcterms:created>
  <dc:creator>Administrator</dc:creator>
  <cp:lastModifiedBy>邹丽冰</cp:lastModifiedBy>
  <cp:lastPrinted>2022-12-02T00:29:00Z</cp:lastPrinted>
  <dcterms:modified xsi:type="dcterms:W3CDTF">2026-04-14T02:25:53Z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611DF358DE21493B9C0A5F139726DBBB_13</vt:lpwstr>
  </property>
  <property fmtid="{D5CDD505-2E9C-101B-9397-08002B2CF9AE}" pid="4" name="KSOTemplateDocerSaveRecord">
    <vt:lpwstr>eyJoZGlkIjoiNDNlZjFmMDY3MzY0NTM4MTU5MzZmM2VhNzUxNzkzYzciLCJ1c2VySWQiOiIxMzA2NjA1NjQ1In0=</vt:lpwstr>
  </property>
</Properties>
</file>