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8E90C">
      <w:pPr>
        <w:keepNext w:val="0"/>
        <w:keepLines w:val="0"/>
        <w:pageBreakBefore w:val="0"/>
        <w:widowControl/>
        <w:kinsoku/>
        <w:wordWrap/>
        <w:overflowPunct/>
        <w:topLinePunct w:val="0"/>
        <w:autoSpaceDE/>
        <w:autoSpaceDN/>
        <w:bidi w:val="0"/>
        <w:spacing w:line="360" w:lineRule="auto"/>
        <w:textAlignment w:val="auto"/>
        <w:rPr>
          <w:rFonts w:hint="default" w:ascii="仿宋_GB2312" w:hAnsi="仿宋_GB2312" w:eastAsia="仿宋_GB2312" w:cs="仿宋_GB2312"/>
          <w:kern w:val="0"/>
          <w:sz w:val="32"/>
          <w:szCs w:val="32"/>
          <w:lang w:val="en-US" w:eastAsia="zh-CN"/>
        </w:rPr>
      </w:pPr>
      <w:bookmarkStart w:id="0" w:name="_GoBack"/>
      <w:bookmarkEnd w:id="0"/>
      <w:r>
        <w:rPr>
          <w:rFonts w:hint="eastAsia" w:ascii="仿宋_GB2312" w:hAnsi="仿宋_GB2312" w:eastAsia="仿宋_GB2312" w:cs="仿宋_GB2312"/>
          <w:kern w:val="0"/>
          <w:sz w:val="32"/>
          <w:szCs w:val="32"/>
          <w:lang w:val="en-US" w:eastAsia="zh-CN"/>
        </w:rPr>
        <w:t>附件</w:t>
      </w:r>
      <w:r>
        <w:rPr>
          <w:rFonts w:hint="eastAsia" w:ascii="仿宋_GB2312" w:hAnsi="仿宋_GB2312" w:cs="仿宋_GB2312"/>
          <w:kern w:val="0"/>
          <w:sz w:val="32"/>
          <w:szCs w:val="32"/>
          <w:lang w:val="en-US" w:eastAsia="zh-CN"/>
        </w:rPr>
        <w:t>4</w:t>
      </w:r>
    </w:p>
    <w:p w14:paraId="083324D3">
      <w:pPr>
        <w:jc w:val="center"/>
        <w:rPr>
          <w:rFonts w:hint="eastAsia" w:ascii="方正小标宋简体" w:hAnsi="方正小标宋简体" w:eastAsia="方正小标宋简体" w:cs="方正小标宋简体"/>
          <w:b w:val="0"/>
          <w:bCs/>
          <w:spacing w:val="-20"/>
          <w:sz w:val="44"/>
          <w:szCs w:val="44"/>
          <w:lang w:val="en-US" w:eastAsia="zh-CN"/>
        </w:rPr>
      </w:pPr>
      <w:r>
        <w:rPr>
          <w:rFonts w:hint="eastAsia" w:ascii="方正小标宋简体" w:hAnsi="方正小标宋简体" w:eastAsia="方正小标宋简体" w:cs="方正小标宋简体"/>
          <w:b w:val="0"/>
          <w:bCs/>
          <w:spacing w:val="-20"/>
          <w:sz w:val="44"/>
          <w:szCs w:val="44"/>
          <w:lang w:val="en-US" w:eastAsia="zh-CN"/>
        </w:rPr>
        <w:t>配装眼镜产品质量监督抽查实施细则</w:t>
      </w:r>
    </w:p>
    <w:p w14:paraId="64A2285E">
      <w:pPr>
        <w:jc w:val="center"/>
        <w:rPr>
          <w:rFonts w:hint="eastAsia" w:ascii="方正小标宋简体" w:hAnsi="方正小标宋简体" w:eastAsia="方正小标宋简体" w:cs="方正小标宋简体"/>
          <w:b w:val="0"/>
          <w:bCs/>
          <w:spacing w:val="-16"/>
          <w:sz w:val="44"/>
          <w:szCs w:val="44"/>
        </w:rPr>
      </w:pPr>
      <w:r>
        <w:rPr>
          <w:rFonts w:hint="eastAsia" w:ascii="方正小标宋简体" w:hAnsi="方正小标宋简体" w:eastAsia="方正小标宋简体" w:cs="方正小标宋简体"/>
          <w:b w:val="0"/>
          <w:bCs/>
          <w:spacing w:val="-20"/>
          <w:sz w:val="44"/>
          <w:szCs w:val="44"/>
          <w:lang w:val="en-US" w:eastAsia="zh-CN"/>
        </w:rPr>
        <w:t>（2026版）</w:t>
      </w:r>
    </w:p>
    <w:p w14:paraId="0168BBB3">
      <w:pPr>
        <w:keepNext w:val="0"/>
        <w:keepLines w:val="0"/>
        <w:pageBreakBefore w:val="0"/>
        <w:kinsoku/>
        <w:wordWrap/>
        <w:overflowPunct/>
        <w:topLinePunct w:val="0"/>
        <w:autoSpaceDE/>
        <w:bidi w:val="0"/>
        <w:adjustRightInd/>
        <w:snapToGrid/>
        <w:spacing w:line="240" w:lineRule="auto"/>
        <w:textAlignment w:val="auto"/>
        <w:rPr>
          <w:rFonts w:eastAsia="方正小标宋简体" w:cs="方正小标宋简体"/>
          <w:sz w:val="44"/>
          <w:szCs w:val="44"/>
        </w:rPr>
      </w:pPr>
    </w:p>
    <w:p w14:paraId="6481B40B">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一、抽样方法</w:t>
      </w:r>
    </w:p>
    <w:p w14:paraId="6C29F028">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以随机抽样的方式在被抽查市场主体的待销产品中抽取</w:t>
      </w:r>
      <w:r>
        <w:rPr>
          <w:rFonts w:hint="eastAsia" w:ascii="仿宋_GB2312" w:hAnsi="仿宋_GB2312" w:cs="仿宋_GB2312"/>
          <w:kern w:val="0"/>
          <w:sz w:val="32"/>
          <w:szCs w:val="32"/>
          <w:lang w:val="en-US" w:eastAsia="zh-CN"/>
        </w:rPr>
        <w:t>样品</w:t>
      </w:r>
      <w:r>
        <w:rPr>
          <w:rFonts w:hint="eastAsia" w:ascii="仿宋_GB2312" w:hAnsi="仿宋_GB2312" w:eastAsia="仿宋_GB2312" w:cs="仿宋_GB2312"/>
          <w:kern w:val="0"/>
          <w:sz w:val="32"/>
          <w:szCs w:val="32"/>
          <w:lang w:val="en-US" w:eastAsia="zh-CN"/>
        </w:rPr>
        <w:t>。</w:t>
      </w:r>
    </w:p>
    <w:p w14:paraId="61A96BD0">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随机数一般可使用随机数表等方法产生。</w:t>
      </w:r>
    </w:p>
    <w:p w14:paraId="693C6F48">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抽查数量：每款产品抽取1组样本用于检验（无备样）。具体抽样数量和方法如下：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698"/>
        <w:gridCol w:w="3698"/>
      </w:tblGrid>
      <w:tr w14:paraId="1D58D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69695DE6">
            <w:pPr>
              <w:adjustRightInd w:val="0"/>
              <w:snapToGrid w:val="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3698" w:type="dxa"/>
            <w:tcBorders>
              <w:top w:val="single" w:color="auto" w:sz="4" w:space="0"/>
              <w:left w:val="single" w:color="auto" w:sz="4" w:space="0"/>
              <w:bottom w:val="single" w:color="auto" w:sz="4" w:space="0"/>
              <w:right w:val="single" w:color="auto" w:sz="4" w:space="0"/>
            </w:tcBorders>
            <w:noWrap/>
            <w:vAlign w:val="center"/>
          </w:tcPr>
          <w:p w14:paraId="238F73D9">
            <w:pPr>
              <w:adjustRightInd w:val="0"/>
              <w:snapToGrid w:val="0"/>
              <w:jc w:val="center"/>
              <w:rPr>
                <w:rFonts w:hint="eastAsia" w:ascii="宋体" w:hAnsi="宋体" w:eastAsia="宋体" w:cs="宋体"/>
                <w:b/>
                <w:sz w:val="24"/>
                <w:szCs w:val="24"/>
              </w:rPr>
            </w:pPr>
            <w:r>
              <w:rPr>
                <w:rFonts w:hint="eastAsia" w:ascii="宋体" w:hAnsi="宋体" w:eastAsia="宋体" w:cs="宋体"/>
                <w:b/>
                <w:sz w:val="24"/>
                <w:szCs w:val="24"/>
              </w:rPr>
              <w:t>产品名称</w:t>
            </w:r>
          </w:p>
        </w:tc>
        <w:tc>
          <w:tcPr>
            <w:tcW w:w="3698" w:type="dxa"/>
            <w:tcBorders>
              <w:top w:val="single" w:color="auto" w:sz="4" w:space="0"/>
              <w:left w:val="single" w:color="auto" w:sz="4" w:space="0"/>
              <w:bottom w:val="single" w:color="auto" w:sz="4" w:space="0"/>
              <w:right w:val="single" w:color="auto" w:sz="4" w:space="0"/>
            </w:tcBorders>
            <w:noWrap/>
            <w:vAlign w:val="center"/>
          </w:tcPr>
          <w:p w14:paraId="56AA581A">
            <w:pPr>
              <w:adjustRightInd w:val="0"/>
              <w:snapToGrid w:val="0"/>
              <w:jc w:val="center"/>
              <w:rPr>
                <w:rFonts w:hint="eastAsia" w:ascii="宋体" w:hAnsi="宋体" w:eastAsia="宋体" w:cs="宋体"/>
                <w:b/>
                <w:sz w:val="24"/>
                <w:szCs w:val="24"/>
              </w:rPr>
            </w:pPr>
            <w:r>
              <w:rPr>
                <w:rFonts w:hint="eastAsia" w:ascii="宋体" w:hAnsi="宋体" w:eastAsia="宋体" w:cs="宋体"/>
                <w:b/>
                <w:sz w:val="24"/>
                <w:szCs w:val="24"/>
              </w:rPr>
              <w:t>第1组数量</w:t>
            </w:r>
          </w:p>
        </w:tc>
      </w:tr>
      <w:tr w14:paraId="177B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792" w:type="dxa"/>
            <w:tcBorders>
              <w:top w:val="single" w:color="auto" w:sz="4" w:space="0"/>
              <w:left w:val="single" w:color="auto" w:sz="4" w:space="0"/>
              <w:bottom w:val="single" w:color="auto" w:sz="4" w:space="0"/>
              <w:right w:val="single" w:color="auto" w:sz="4" w:space="0"/>
            </w:tcBorders>
            <w:noWrap/>
            <w:vAlign w:val="center"/>
          </w:tcPr>
          <w:p w14:paraId="6606A840">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w:t>
            </w:r>
          </w:p>
        </w:tc>
        <w:tc>
          <w:tcPr>
            <w:tcW w:w="3698" w:type="dxa"/>
            <w:tcBorders>
              <w:top w:val="single" w:color="auto" w:sz="4" w:space="0"/>
              <w:left w:val="single" w:color="auto" w:sz="4" w:space="0"/>
              <w:bottom w:val="single" w:color="auto" w:sz="4" w:space="0"/>
              <w:right w:val="single" w:color="auto" w:sz="4" w:space="0"/>
            </w:tcBorders>
            <w:noWrap/>
            <w:vAlign w:val="center"/>
          </w:tcPr>
          <w:p w14:paraId="046BF844">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配装眼镜</w:t>
            </w:r>
          </w:p>
        </w:tc>
        <w:tc>
          <w:tcPr>
            <w:tcW w:w="3698" w:type="dxa"/>
            <w:tcBorders>
              <w:top w:val="single" w:color="auto" w:sz="4" w:space="0"/>
              <w:left w:val="single" w:color="auto" w:sz="4" w:space="0"/>
              <w:bottom w:val="single" w:color="auto" w:sz="4" w:space="0"/>
              <w:right w:val="single" w:color="auto" w:sz="4" w:space="0"/>
            </w:tcBorders>
            <w:noWrap/>
            <w:vAlign w:val="center"/>
          </w:tcPr>
          <w:p w14:paraId="24592D46">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1副</w:t>
            </w:r>
          </w:p>
        </w:tc>
      </w:tr>
    </w:tbl>
    <w:p w14:paraId="5B44A265">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当库存基数少于抽查数量时，可由抽样人员现场开具配装眼镜处方单（含顶焦度、轴位、瞳距等），交抽查市场主体现场制作。为确保样品的完好有效，每一副配装眼镜应附有包含加工制作参数的单据、出厂标识标签等，并有独立完整的包装。在运输和寄送过程中应适当防护，防止样品变形或破损。</w:t>
      </w:r>
    </w:p>
    <w:p w14:paraId="22119F96">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593"/>
        <w:gridCol w:w="4834"/>
      </w:tblGrid>
      <w:tr w14:paraId="501BB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66" w:type="dxa"/>
            <w:tcBorders>
              <w:top w:val="single" w:color="auto" w:sz="4" w:space="0"/>
              <w:left w:val="single" w:color="auto" w:sz="4" w:space="0"/>
              <w:bottom w:val="single" w:color="auto" w:sz="4" w:space="0"/>
              <w:right w:val="single" w:color="auto" w:sz="4" w:space="0"/>
            </w:tcBorders>
            <w:noWrap/>
            <w:vAlign w:val="center"/>
          </w:tcPr>
          <w:p w14:paraId="09EA9628">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序号</w:t>
            </w:r>
          </w:p>
        </w:tc>
        <w:tc>
          <w:tcPr>
            <w:tcW w:w="2593" w:type="dxa"/>
            <w:tcBorders>
              <w:top w:val="single" w:color="auto" w:sz="4" w:space="0"/>
              <w:left w:val="single" w:color="auto" w:sz="4" w:space="0"/>
              <w:bottom w:val="single" w:color="auto" w:sz="4" w:space="0"/>
              <w:right w:val="single" w:color="auto" w:sz="4" w:space="0"/>
            </w:tcBorders>
            <w:noWrap/>
            <w:vAlign w:val="center"/>
          </w:tcPr>
          <w:p w14:paraId="44F87992">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检验项目</w:t>
            </w:r>
          </w:p>
        </w:tc>
        <w:tc>
          <w:tcPr>
            <w:tcW w:w="4834" w:type="dxa"/>
            <w:tcBorders>
              <w:top w:val="single" w:color="auto" w:sz="4" w:space="0"/>
              <w:left w:val="single" w:color="auto" w:sz="4" w:space="0"/>
              <w:bottom w:val="single" w:color="auto" w:sz="4" w:space="0"/>
              <w:right w:val="single" w:color="auto" w:sz="4" w:space="0"/>
            </w:tcBorders>
            <w:noWrap/>
            <w:vAlign w:val="center"/>
          </w:tcPr>
          <w:p w14:paraId="3A477B77">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t>检验方法</w:t>
            </w:r>
          </w:p>
        </w:tc>
      </w:tr>
      <w:tr w14:paraId="5F20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5A1B0A85">
            <w:pPr>
              <w:adjustRightInd w:val="0"/>
              <w:snapToGrid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593" w:type="dxa"/>
            <w:noWrap/>
            <w:vAlign w:val="center"/>
          </w:tcPr>
          <w:p w14:paraId="09FC728E">
            <w:pPr>
              <w:jc w:val="center"/>
              <w:rPr>
                <w:rFonts w:hint="eastAsia" w:ascii="宋体" w:hAnsi="宋体" w:eastAsia="宋体" w:cs="宋体"/>
                <w:sz w:val="24"/>
                <w:szCs w:val="24"/>
              </w:rPr>
            </w:pPr>
            <w:r>
              <w:rPr>
                <w:rFonts w:hint="eastAsia" w:ascii="宋体" w:hAnsi="宋体" w:eastAsia="宋体" w:cs="宋体"/>
                <w:sz w:val="24"/>
                <w:szCs w:val="24"/>
              </w:rPr>
              <w:t>球镜顶焦度允差（D）</w:t>
            </w:r>
          </w:p>
        </w:tc>
        <w:tc>
          <w:tcPr>
            <w:tcW w:w="4834" w:type="dxa"/>
            <w:noWrap/>
            <w:vAlign w:val="center"/>
          </w:tcPr>
          <w:p w14:paraId="2EDFE4DA">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 10810.1-2005</w:t>
            </w:r>
          </w:p>
          <w:p w14:paraId="28DAFEDD">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10810.1-20</w:t>
            </w: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 xml:space="preserve">5 </w:t>
            </w:r>
          </w:p>
        </w:tc>
      </w:tr>
      <w:tr w14:paraId="7E4C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6B2E474B">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p>
        </w:tc>
        <w:tc>
          <w:tcPr>
            <w:tcW w:w="2593" w:type="dxa"/>
            <w:noWrap/>
            <w:vAlign w:val="center"/>
          </w:tcPr>
          <w:p w14:paraId="7007A92D">
            <w:pPr>
              <w:jc w:val="center"/>
              <w:rPr>
                <w:rFonts w:hint="eastAsia" w:ascii="宋体" w:hAnsi="宋体" w:eastAsia="宋体" w:cs="宋体"/>
                <w:sz w:val="24"/>
                <w:szCs w:val="24"/>
              </w:rPr>
            </w:pPr>
            <w:r>
              <w:rPr>
                <w:rFonts w:hint="eastAsia" w:ascii="宋体" w:hAnsi="宋体" w:eastAsia="宋体" w:cs="宋体"/>
                <w:sz w:val="24"/>
                <w:szCs w:val="24"/>
              </w:rPr>
              <w:t>柱镜顶焦度允差（D）</w:t>
            </w:r>
          </w:p>
        </w:tc>
        <w:tc>
          <w:tcPr>
            <w:tcW w:w="4834" w:type="dxa"/>
            <w:noWrap/>
            <w:vAlign w:val="center"/>
          </w:tcPr>
          <w:p w14:paraId="042E6A99">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 10810.1-2005</w:t>
            </w:r>
          </w:p>
          <w:p w14:paraId="42D397BA">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10810.1-20</w:t>
            </w: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 xml:space="preserve">5 </w:t>
            </w:r>
          </w:p>
        </w:tc>
      </w:tr>
      <w:tr w14:paraId="2C52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11446620">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2593" w:type="dxa"/>
            <w:noWrap/>
            <w:vAlign w:val="center"/>
          </w:tcPr>
          <w:p w14:paraId="00F0F0CF">
            <w:pPr>
              <w:jc w:val="center"/>
              <w:rPr>
                <w:rFonts w:hint="eastAsia" w:ascii="宋体" w:hAnsi="宋体" w:eastAsia="宋体" w:cs="宋体"/>
                <w:sz w:val="24"/>
                <w:szCs w:val="24"/>
              </w:rPr>
            </w:pPr>
            <w:r>
              <w:rPr>
                <w:rFonts w:hint="eastAsia" w:ascii="宋体" w:hAnsi="宋体" w:eastAsia="宋体" w:cs="宋体"/>
                <w:sz w:val="24"/>
                <w:szCs w:val="24"/>
              </w:rPr>
              <w:t>柱镜轴位允差（°）</w:t>
            </w:r>
          </w:p>
        </w:tc>
        <w:tc>
          <w:tcPr>
            <w:tcW w:w="4834" w:type="dxa"/>
            <w:noWrap/>
            <w:vAlign w:val="center"/>
          </w:tcPr>
          <w:p w14:paraId="08E41146">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 13511.1-2011 </w:t>
            </w:r>
          </w:p>
          <w:p w14:paraId="69C70026">
            <w:pPr>
              <w:adjustRightInd w:val="0"/>
              <w:snapToGrid w:val="0"/>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13511.1-20</w:t>
            </w:r>
            <w:r>
              <w:rPr>
                <w:rFonts w:hint="eastAsia" w:ascii="宋体" w:hAnsi="宋体" w:eastAsia="宋体" w:cs="宋体"/>
                <w:spacing w:val="-6"/>
                <w:sz w:val="24"/>
                <w:szCs w:val="24"/>
                <w:lang w:val="en-US" w:eastAsia="zh-CN"/>
              </w:rPr>
              <w:t>25</w:t>
            </w:r>
          </w:p>
        </w:tc>
      </w:tr>
      <w:tr w14:paraId="2D0BA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50370BCB">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c>
          <w:tcPr>
            <w:tcW w:w="2593" w:type="dxa"/>
            <w:noWrap/>
            <w:vAlign w:val="center"/>
          </w:tcPr>
          <w:p w14:paraId="1183498B">
            <w:pPr>
              <w:jc w:val="center"/>
              <w:rPr>
                <w:rFonts w:hint="eastAsia" w:ascii="宋体" w:hAnsi="宋体" w:eastAsia="宋体" w:cs="宋体"/>
                <w:sz w:val="24"/>
                <w:szCs w:val="24"/>
              </w:rPr>
            </w:pPr>
            <w:r>
              <w:rPr>
                <w:rFonts w:hint="eastAsia" w:ascii="宋体" w:hAnsi="宋体" w:eastAsia="宋体" w:cs="宋体"/>
                <w:sz w:val="24"/>
                <w:szCs w:val="24"/>
              </w:rPr>
              <w:t>棱镜度允差（Δ）</w:t>
            </w:r>
          </w:p>
        </w:tc>
        <w:tc>
          <w:tcPr>
            <w:tcW w:w="4834" w:type="dxa"/>
            <w:noWrap/>
            <w:vAlign w:val="center"/>
          </w:tcPr>
          <w:p w14:paraId="146A4421">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 13511.1-2011 </w:t>
            </w:r>
          </w:p>
          <w:p w14:paraId="630FC827">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13511.1-20</w:t>
            </w:r>
            <w:r>
              <w:rPr>
                <w:rFonts w:hint="eastAsia" w:ascii="宋体" w:hAnsi="宋体" w:eastAsia="宋体" w:cs="宋体"/>
                <w:spacing w:val="-6"/>
                <w:sz w:val="24"/>
                <w:szCs w:val="24"/>
                <w:lang w:val="en-US" w:eastAsia="zh-CN"/>
              </w:rPr>
              <w:t>25</w:t>
            </w:r>
          </w:p>
        </w:tc>
      </w:tr>
      <w:tr w14:paraId="7BF9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3D523A89">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2593" w:type="dxa"/>
            <w:noWrap/>
            <w:vAlign w:val="center"/>
          </w:tcPr>
          <w:p w14:paraId="4F5A44A9">
            <w:pPr>
              <w:jc w:val="center"/>
              <w:rPr>
                <w:rFonts w:hint="eastAsia" w:ascii="宋体" w:hAnsi="宋体" w:eastAsia="宋体" w:cs="宋体"/>
                <w:sz w:val="24"/>
                <w:szCs w:val="24"/>
              </w:rPr>
            </w:pPr>
            <w:r>
              <w:rPr>
                <w:rFonts w:hint="eastAsia" w:ascii="宋体" w:hAnsi="宋体" w:eastAsia="宋体" w:cs="宋体"/>
                <w:sz w:val="24"/>
                <w:szCs w:val="24"/>
              </w:rPr>
              <w:t>附加顶焦度（D）</w:t>
            </w:r>
          </w:p>
        </w:tc>
        <w:tc>
          <w:tcPr>
            <w:tcW w:w="4834" w:type="dxa"/>
            <w:noWrap/>
            <w:vAlign w:val="center"/>
          </w:tcPr>
          <w:p w14:paraId="1ECDDD57">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 10810.1-2005</w:t>
            </w:r>
          </w:p>
          <w:p w14:paraId="2B42C692">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10810.1-20</w:t>
            </w: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 xml:space="preserve">5 </w:t>
            </w:r>
          </w:p>
        </w:tc>
      </w:tr>
      <w:tr w14:paraId="2133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1EAD7D50">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c>
          <w:tcPr>
            <w:tcW w:w="2593" w:type="dxa"/>
            <w:noWrap/>
            <w:vAlign w:val="center"/>
          </w:tcPr>
          <w:p w14:paraId="2CDD21C4">
            <w:pPr>
              <w:jc w:val="center"/>
              <w:rPr>
                <w:rFonts w:hint="eastAsia" w:ascii="宋体" w:hAnsi="宋体" w:eastAsia="宋体" w:cs="宋体"/>
                <w:sz w:val="24"/>
                <w:szCs w:val="24"/>
              </w:rPr>
            </w:pPr>
            <w:r>
              <w:rPr>
                <w:rFonts w:hint="eastAsia" w:ascii="宋体" w:hAnsi="宋体" w:eastAsia="宋体" w:cs="宋体"/>
                <w:sz w:val="24"/>
                <w:szCs w:val="24"/>
              </w:rPr>
              <w:t>光学中心单侧水平允差（mm）</w:t>
            </w:r>
          </w:p>
        </w:tc>
        <w:tc>
          <w:tcPr>
            <w:tcW w:w="4834" w:type="dxa"/>
            <w:noWrap/>
            <w:vAlign w:val="center"/>
          </w:tcPr>
          <w:p w14:paraId="46473D59">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 13511.1-2011 </w:t>
            </w:r>
          </w:p>
          <w:p w14:paraId="5730DF57">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13511.1-20</w:t>
            </w:r>
            <w:r>
              <w:rPr>
                <w:rFonts w:hint="eastAsia" w:ascii="宋体" w:hAnsi="宋体" w:eastAsia="宋体" w:cs="宋体"/>
                <w:spacing w:val="-6"/>
                <w:sz w:val="24"/>
                <w:szCs w:val="24"/>
                <w:lang w:val="en-US" w:eastAsia="zh-CN"/>
              </w:rPr>
              <w:t>25</w:t>
            </w:r>
          </w:p>
        </w:tc>
      </w:tr>
      <w:tr w14:paraId="1886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5009561E">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2593" w:type="dxa"/>
            <w:noWrap/>
            <w:vAlign w:val="center"/>
          </w:tcPr>
          <w:p w14:paraId="393431A3">
            <w:pPr>
              <w:jc w:val="center"/>
              <w:rPr>
                <w:rFonts w:hint="eastAsia" w:ascii="宋体" w:hAnsi="宋体" w:eastAsia="宋体" w:cs="宋体"/>
                <w:sz w:val="24"/>
                <w:szCs w:val="24"/>
              </w:rPr>
            </w:pPr>
            <w:r>
              <w:rPr>
                <w:rFonts w:hint="eastAsia" w:ascii="宋体" w:hAnsi="宋体" w:eastAsia="宋体" w:cs="宋体"/>
                <w:sz w:val="24"/>
                <w:szCs w:val="24"/>
              </w:rPr>
              <w:t>光学中心垂直互差（mm）</w:t>
            </w:r>
          </w:p>
        </w:tc>
        <w:tc>
          <w:tcPr>
            <w:tcW w:w="4834" w:type="dxa"/>
            <w:noWrap/>
            <w:vAlign w:val="center"/>
          </w:tcPr>
          <w:p w14:paraId="11D990AF">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 13511.1-2011 </w:t>
            </w:r>
          </w:p>
          <w:p w14:paraId="02BE83AC">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13511.1-20</w:t>
            </w:r>
            <w:r>
              <w:rPr>
                <w:rFonts w:hint="eastAsia" w:ascii="宋体" w:hAnsi="宋体" w:eastAsia="宋体" w:cs="宋体"/>
                <w:spacing w:val="-6"/>
                <w:sz w:val="24"/>
                <w:szCs w:val="24"/>
                <w:lang w:val="en-US" w:eastAsia="zh-CN"/>
              </w:rPr>
              <w:t>25</w:t>
            </w:r>
          </w:p>
        </w:tc>
      </w:tr>
      <w:tr w14:paraId="6018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37B757FB">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p>
        </w:tc>
        <w:tc>
          <w:tcPr>
            <w:tcW w:w="2593" w:type="dxa"/>
            <w:noWrap/>
            <w:vAlign w:val="center"/>
          </w:tcPr>
          <w:p w14:paraId="13C07956">
            <w:pPr>
              <w:jc w:val="center"/>
              <w:rPr>
                <w:rFonts w:hint="eastAsia" w:ascii="宋体" w:hAnsi="宋体" w:eastAsia="宋体" w:cs="宋体"/>
                <w:sz w:val="24"/>
                <w:szCs w:val="24"/>
              </w:rPr>
            </w:pPr>
            <w:r>
              <w:rPr>
                <w:rFonts w:hint="eastAsia" w:ascii="宋体" w:hAnsi="宋体" w:eastAsia="宋体" w:cs="宋体"/>
                <w:sz w:val="24"/>
                <w:szCs w:val="24"/>
              </w:rPr>
              <w:t>光学中心水平距离偏差（mm）</w:t>
            </w:r>
          </w:p>
        </w:tc>
        <w:tc>
          <w:tcPr>
            <w:tcW w:w="4834" w:type="dxa"/>
            <w:noWrap/>
            <w:vAlign w:val="center"/>
          </w:tcPr>
          <w:p w14:paraId="61F0A25C">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 13511.1-2011 </w:t>
            </w:r>
          </w:p>
          <w:p w14:paraId="17A1454A">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13511.1-20</w:t>
            </w:r>
            <w:r>
              <w:rPr>
                <w:rFonts w:hint="eastAsia" w:ascii="宋体" w:hAnsi="宋体" w:eastAsia="宋体" w:cs="宋体"/>
                <w:spacing w:val="-6"/>
                <w:sz w:val="24"/>
                <w:szCs w:val="24"/>
                <w:lang w:val="en-US" w:eastAsia="zh-CN"/>
              </w:rPr>
              <w:t>25</w:t>
            </w:r>
          </w:p>
        </w:tc>
      </w:tr>
      <w:tr w14:paraId="75FB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61DC5913">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p>
        </w:tc>
        <w:tc>
          <w:tcPr>
            <w:tcW w:w="2593" w:type="dxa"/>
            <w:noWrap/>
            <w:vAlign w:val="center"/>
          </w:tcPr>
          <w:p w14:paraId="2AB10B7B">
            <w:pPr>
              <w:jc w:val="center"/>
              <w:rPr>
                <w:rFonts w:hint="eastAsia" w:ascii="宋体" w:hAnsi="宋体" w:eastAsia="宋体" w:cs="宋体"/>
                <w:sz w:val="24"/>
                <w:szCs w:val="24"/>
              </w:rPr>
            </w:pPr>
            <w:r>
              <w:rPr>
                <w:rFonts w:hint="eastAsia" w:ascii="宋体" w:hAnsi="宋体" w:eastAsia="宋体" w:cs="宋体"/>
                <w:sz w:val="24"/>
                <w:szCs w:val="24"/>
              </w:rPr>
              <w:t>可见光谱区透射比（%）</w:t>
            </w:r>
          </w:p>
        </w:tc>
        <w:tc>
          <w:tcPr>
            <w:tcW w:w="4834" w:type="dxa"/>
            <w:noWrap/>
            <w:vAlign w:val="center"/>
          </w:tcPr>
          <w:p w14:paraId="05273768">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 10810.3-2006</w:t>
            </w:r>
          </w:p>
          <w:p w14:paraId="6C395FF9">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10810.</w:t>
            </w:r>
            <w:r>
              <w:rPr>
                <w:rFonts w:hint="eastAsia" w:ascii="宋体" w:hAnsi="宋体" w:eastAsia="宋体" w:cs="宋体"/>
                <w:spacing w:val="-6"/>
                <w:sz w:val="24"/>
                <w:szCs w:val="24"/>
                <w:lang w:val="en-US" w:eastAsia="zh-CN"/>
              </w:rPr>
              <w:t>3</w:t>
            </w:r>
            <w:r>
              <w:rPr>
                <w:rFonts w:hint="eastAsia" w:ascii="宋体" w:hAnsi="宋体" w:eastAsia="宋体" w:cs="宋体"/>
                <w:spacing w:val="-6"/>
                <w:sz w:val="24"/>
                <w:szCs w:val="24"/>
              </w:rPr>
              <w:t>-20</w:t>
            </w: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 xml:space="preserve">5 </w:t>
            </w:r>
          </w:p>
        </w:tc>
      </w:tr>
      <w:tr w14:paraId="773D3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40892DC5">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p>
        </w:tc>
        <w:tc>
          <w:tcPr>
            <w:tcW w:w="2593" w:type="dxa"/>
            <w:noWrap/>
            <w:vAlign w:val="center"/>
          </w:tcPr>
          <w:p w14:paraId="27FFCC6B">
            <w:pPr>
              <w:jc w:val="center"/>
              <w:rPr>
                <w:rFonts w:hint="eastAsia" w:ascii="宋体" w:hAnsi="宋体" w:eastAsia="宋体" w:cs="宋体"/>
                <w:sz w:val="24"/>
                <w:szCs w:val="24"/>
              </w:rPr>
            </w:pPr>
            <w:r>
              <w:rPr>
                <w:rFonts w:hint="eastAsia" w:ascii="宋体" w:hAnsi="宋体" w:eastAsia="宋体" w:cs="宋体"/>
                <w:sz w:val="24"/>
                <w:szCs w:val="24"/>
              </w:rPr>
              <w:t>紫外光谱区透射比（%）</w:t>
            </w:r>
          </w:p>
        </w:tc>
        <w:tc>
          <w:tcPr>
            <w:tcW w:w="4834" w:type="dxa"/>
            <w:noWrap/>
            <w:vAlign w:val="center"/>
          </w:tcPr>
          <w:p w14:paraId="32E5C7FB">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 10810.3-2006</w:t>
            </w:r>
          </w:p>
          <w:p w14:paraId="75F1B299">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10810.</w:t>
            </w:r>
            <w:r>
              <w:rPr>
                <w:rFonts w:hint="eastAsia" w:ascii="宋体" w:hAnsi="宋体" w:eastAsia="宋体" w:cs="宋体"/>
                <w:spacing w:val="-6"/>
                <w:sz w:val="24"/>
                <w:szCs w:val="24"/>
                <w:lang w:val="en-US" w:eastAsia="zh-CN"/>
              </w:rPr>
              <w:t>3</w:t>
            </w:r>
            <w:r>
              <w:rPr>
                <w:rFonts w:hint="eastAsia" w:ascii="宋体" w:hAnsi="宋体" w:eastAsia="宋体" w:cs="宋体"/>
                <w:spacing w:val="-6"/>
                <w:sz w:val="24"/>
                <w:szCs w:val="24"/>
              </w:rPr>
              <w:t>-20</w:t>
            </w: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 xml:space="preserve">5 </w:t>
            </w:r>
          </w:p>
        </w:tc>
      </w:tr>
      <w:tr w14:paraId="3FC6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ign w:val="center"/>
          </w:tcPr>
          <w:p w14:paraId="1BFB75AA">
            <w:pPr>
              <w:adjustRightInd w:val="0"/>
              <w:snapToGrid w:val="0"/>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p>
        </w:tc>
        <w:tc>
          <w:tcPr>
            <w:tcW w:w="2593" w:type="dxa"/>
            <w:noWrap/>
            <w:vAlign w:val="center"/>
          </w:tcPr>
          <w:p w14:paraId="02A2B109">
            <w:pPr>
              <w:jc w:val="center"/>
              <w:rPr>
                <w:rFonts w:hint="eastAsia" w:ascii="宋体" w:hAnsi="宋体" w:eastAsia="宋体" w:cs="宋体"/>
                <w:sz w:val="24"/>
                <w:szCs w:val="24"/>
              </w:rPr>
            </w:pPr>
            <w:r>
              <w:rPr>
                <w:rFonts w:hint="eastAsia" w:ascii="宋体" w:hAnsi="宋体" w:eastAsia="宋体" w:cs="宋体"/>
                <w:sz w:val="24"/>
                <w:szCs w:val="24"/>
              </w:rPr>
              <w:t>装配质量</w:t>
            </w:r>
          </w:p>
        </w:tc>
        <w:tc>
          <w:tcPr>
            <w:tcW w:w="4834" w:type="dxa"/>
            <w:shd w:val="clear" w:color="auto" w:fill="auto"/>
            <w:noWrap/>
            <w:vAlign w:val="center"/>
          </w:tcPr>
          <w:p w14:paraId="6B46B199">
            <w:pPr>
              <w:adjustRightInd w:val="0"/>
              <w:snapToGrid w:val="0"/>
              <w:jc w:val="center"/>
              <w:rPr>
                <w:rFonts w:hint="eastAsia" w:ascii="宋体" w:hAnsi="宋体" w:eastAsia="宋体" w:cs="宋体"/>
                <w:spacing w:val="-6"/>
                <w:sz w:val="24"/>
                <w:szCs w:val="24"/>
              </w:rPr>
            </w:pPr>
            <w:r>
              <w:rPr>
                <w:rFonts w:hint="eastAsia" w:ascii="宋体" w:hAnsi="宋体" w:eastAsia="宋体" w:cs="宋体"/>
                <w:spacing w:val="-6"/>
                <w:sz w:val="24"/>
                <w:szCs w:val="24"/>
              </w:rPr>
              <w:t xml:space="preserve">GB 13511.1-2011 </w:t>
            </w:r>
          </w:p>
          <w:p w14:paraId="119FE383">
            <w:pPr>
              <w:adjustRightInd w:val="0"/>
              <w:snapToGrid w:val="0"/>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rPr>
              <w:t>GB</w:t>
            </w:r>
            <w:r>
              <w:rPr>
                <w:rFonts w:hint="eastAsia" w:ascii="宋体" w:hAnsi="宋体" w:eastAsia="宋体" w:cs="宋体"/>
                <w:spacing w:val="-6"/>
                <w:sz w:val="24"/>
                <w:szCs w:val="24"/>
                <w:lang w:val="en-US" w:eastAsia="zh-CN"/>
              </w:rPr>
              <w:t>/T</w:t>
            </w:r>
            <w:r>
              <w:rPr>
                <w:rFonts w:hint="eastAsia" w:ascii="宋体" w:hAnsi="宋体" w:eastAsia="宋体" w:cs="宋体"/>
                <w:spacing w:val="-6"/>
                <w:sz w:val="24"/>
                <w:szCs w:val="24"/>
              </w:rPr>
              <w:t xml:space="preserve"> 13511.1-20</w:t>
            </w:r>
            <w:r>
              <w:rPr>
                <w:rFonts w:hint="eastAsia" w:ascii="宋体" w:hAnsi="宋体" w:eastAsia="宋体" w:cs="宋体"/>
                <w:spacing w:val="-6"/>
                <w:sz w:val="24"/>
                <w:szCs w:val="24"/>
                <w:lang w:val="en-US" w:eastAsia="zh-CN"/>
              </w:rPr>
              <w:t>25</w:t>
            </w:r>
          </w:p>
        </w:tc>
      </w:tr>
    </w:tbl>
    <w:p w14:paraId="32BCD8C5">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执行企业标准、团体标准、地方标准的产品，检验项目参照上述内容执行。</w:t>
      </w:r>
    </w:p>
    <w:p w14:paraId="46A92DC4">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凡是注</w:t>
      </w:r>
      <w:r>
        <w:rPr>
          <w:rFonts w:hint="eastAsia" w:ascii="仿宋_GB2312" w:hAnsi="仿宋_GB2312" w:cs="仿宋_GB2312"/>
          <w:kern w:val="0"/>
          <w:sz w:val="32"/>
          <w:szCs w:val="32"/>
          <w:lang w:val="en-US" w:eastAsia="zh-CN"/>
        </w:rPr>
        <w:t>明</w:t>
      </w:r>
      <w:r>
        <w:rPr>
          <w:rFonts w:hint="eastAsia" w:ascii="仿宋_GB2312" w:hAnsi="仿宋_GB2312" w:eastAsia="仿宋_GB2312" w:cs="仿宋_GB2312"/>
          <w:kern w:val="0"/>
          <w:sz w:val="32"/>
          <w:szCs w:val="32"/>
          <w:lang w:val="en-US" w:eastAsia="zh-CN"/>
        </w:rPr>
        <w:t>日期的文件，其随后所有的修改单（不包括勘误的内容）或修订版不适用于本细则。凡是不注</w:t>
      </w:r>
      <w:r>
        <w:rPr>
          <w:rFonts w:hint="eastAsia" w:ascii="仿宋_GB2312" w:hAnsi="仿宋_GB2312" w:cs="仿宋_GB2312"/>
          <w:kern w:val="0"/>
          <w:sz w:val="32"/>
          <w:szCs w:val="32"/>
          <w:lang w:val="en-US" w:eastAsia="zh-CN"/>
        </w:rPr>
        <w:t>明</w:t>
      </w:r>
      <w:r>
        <w:rPr>
          <w:rFonts w:hint="eastAsia" w:ascii="仿宋_GB2312" w:hAnsi="仿宋_GB2312" w:eastAsia="仿宋_GB2312" w:cs="仿宋_GB2312"/>
          <w:kern w:val="0"/>
          <w:sz w:val="32"/>
          <w:szCs w:val="32"/>
          <w:lang w:val="en-US" w:eastAsia="zh-CN"/>
        </w:rPr>
        <w:t>日期的文件，其最新版本适用于本细则。</w:t>
      </w:r>
    </w:p>
    <w:p w14:paraId="3DA514A1">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三、判定规则</w:t>
      </w:r>
    </w:p>
    <w:p w14:paraId="032ECDAD">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依据标准</w:t>
      </w:r>
    </w:p>
    <w:p w14:paraId="030FAA4A">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 13511.1-2011 《配装眼镜 第1部分：单光和多焦点》</w:t>
      </w:r>
    </w:p>
    <w:p w14:paraId="13FCC8E8">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 10810.1-2005 《眼镜镜片 第1部分：单光和多焦点镜片》</w:t>
      </w:r>
    </w:p>
    <w:p w14:paraId="036157D8">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 10810.3-2006 《眼镜镜片及相关眼镜产品 透射比规范及测量方法》</w:t>
      </w:r>
    </w:p>
    <w:p w14:paraId="039877DB">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14214-2019 《眼镜架  通用要求和试验方法》</w:t>
      </w:r>
    </w:p>
    <w:p w14:paraId="76A0186A">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13511.1-20</w:t>
      </w:r>
      <w:r>
        <w:rPr>
          <w:rFonts w:hint="eastAsia" w:ascii="仿宋_GB2312" w:hAnsi="仿宋_GB2312" w:cs="仿宋_GB2312"/>
          <w:kern w:val="0"/>
          <w:sz w:val="32"/>
          <w:szCs w:val="32"/>
          <w:lang w:val="en-US" w:eastAsia="zh-CN"/>
        </w:rPr>
        <w:t>25</w:t>
      </w:r>
      <w:r>
        <w:rPr>
          <w:rFonts w:hint="eastAsia" w:ascii="仿宋_GB2312" w:hAnsi="仿宋_GB2312" w:eastAsia="仿宋_GB2312" w:cs="仿宋_GB2312"/>
          <w:kern w:val="0"/>
          <w:sz w:val="32"/>
          <w:szCs w:val="32"/>
          <w:lang w:val="en-US" w:eastAsia="zh-CN"/>
        </w:rPr>
        <w:t xml:space="preserve"> 《</w:t>
      </w:r>
      <w:r>
        <w:rPr>
          <w:rFonts w:hint="default" w:ascii="仿宋_GB2312" w:hAnsi="仿宋_GB2312" w:eastAsia="仿宋_GB2312" w:cs="仿宋_GB2312"/>
          <w:kern w:val="0"/>
          <w:sz w:val="32"/>
          <w:szCs w:val="32"/>
          <w:lang w:val="en-US" w:eastAsia="zh-CN"/>
        </w:rPr>
        <w:fldChar w:fldCharType="begin"/>
      </w:r>
      <w:r>
        <w:rPr>
          <w:rFonts w:hint="default" w:ascii="仿宋_GB2312" w:hAnsi="仿宋_GB2312" w:eastAsia="仿宋_GB2312" w:cs="仿宋_GB2312"/>
          <w:kern w:val="0"/>
          <w:sz w:val="32"/>
          <w:szCs w:val="32"/>
          <w:lang w:val="en-US" w:eastAsia="zh-CN"/>
        </w:rPr>
        <w:instrText xml:space="preserve"> HYPERLINK "https://std.samr.gov.cn/gb/search/gbDetailed?id=2FF37940EB64D753E06397BE0A0A413F" \t "https://std.samr.gov.cn/search/stdPage?q=GB/_blank" </w:instrText>
      </w:r>
      <w:r>
        <w:rPr>
          <w:rFonts w:hint="default" w:ascii="仿宋_GB2312" w:hAnsi="仿宋_GB2312" w:eastAsia="仿宋_GB2312" w:cs="仿宋_GB2312"/>
          <w:kern w:val="0"/>
          <w:sz w:val="32"/>
          <w:szCs w:val="32"/>
          <w:lang w:val="en-US" w:eastAsia="zh-CN"/>
        </w:rPr>
        <w:fldChar w:fldCharType="separate"/>
      </w:r>
      <w:r>
        <w:rPr>
          <w:rFonts w:hint="default" w:ascii="仿宋_GB2312" w:hAnsi="仿宋_GB2312" w:eastAsia="仿宋_GB2312" w:cs="仿宋_GB2312"/>
          <w:kern w:val="0"/>
          <w:sz w:val="32"/>
          <w:szCs w:val="32"/>
          <w:lang w:val="en-US" w:eastAsia="zh-CN"/>
        </w:rPr>
        <w:t>配装眼镜 第1部分：单焦和多焦定配眼镜</w:t>
      </w:r>
      <w:r>
        <w:rPr>
          <w:rFonts w:hint="default" w:ascii="仿宋_GB2312" w:hAnsi="仿宋_GB2312" w:eastAsia="仿宋_GB2312" w:cs="仿宋_GB2312"/>
          <w:kern w:val="0"/>
          <w:sz w:val="32"/>
          <w:szCs w:val="32"/>
          <w:lang w:val="en-US" w:eastAsia="zh-CN"/>
        </w:rPr>
        <w:fldChar w:fldCharType="end"/>
      </w:r>
      <w:r>
        <w:rPr>
          <w:rFonts w:hint="eastAsia" w:ascii="仿宋_GB2312" w:hAnsi="仿宋_GB2312" w:eastAsia="仿宋_GB2312" w:cs="仿宋_GB2312"/>
          <w:kern w:val="0"/>
          <w:sz w:val="32"/>
          <w:szCs w:val="32"/>
          <w:lang w:val="en-US" w:eastAsia="zh-CN"/>
        </w:rPr>
        <w:t>》</w:t>
      </w:r>
    </w:p>
    <w:p w14:paraId="6721B60A">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GB/T 10810.1-2025 《</w:t>
      </w:r>
      <w:r>
        <w:rPr>
          <w:rFonts w:hint="default" w:ascii="仿宋_GB2312" w:hAnsi="仿宋_GB2312" w:eastAsia="仿宋_GB2312" w:cs="仿宋_GB2312"/>
          <w:kern w:val="0"/>
          <w:sz w:val="32"/>
          <w:szCs w:val="32"/>
          <w:lang w:val="en-US" w:eastAsia="zh-CN"/>
        </w:rPr>
        <w:fldChar w:fldCharType="begin"/>
      </w:r>
      <w:r>
        <w:rPr>
          <w:rFonts w:hint="default" w:ascii="仿宋_GB2312" w:hAnsi="仿宋_GB2312" w:eastAsia="仿宋_GB2312" w:cs="仿宋_GB2312"/>
          <w:kern w:val="0"/>
          <w:sz w:val="32"/>
          <w:szCs w:val="32"/>
          <w:lang w:val="en-US" w:eastAsia="zh-CN"/>
        </w:rPr>
        <w:instrText xml:space="preserve"> HYPERLINK "https://std.samr.gov.cn/gb/search/gbDetailed?id=2FF37940EB69D753E06397BE0A0A413F" \t "https://std.samr.gov.cn/search/stdPage?q=GB/_blank" </w:instrText>
      </w:r>
      <w:r>
        <w:rPr>
          <w:rFonts w:hint="default" w:ascii="仿宋_GB2312" w:hAnsi="仿宋_GB2312" w:eastAsia="仿宋_GB2312" w:cs="仿宋_GB2312"/>
          <w:kern w:val="0"/>
          <w:sz w:val="32"/>
          <w:szCs w:val="32"/>
          <w:lang w:val="en-US" w:eastAsia="zh-CN"/>
        </w:rPr>
        <w:fldChar w:fldCharType="separate"/>
      </w:r>
      <w:r>
        <w:rPr>
          <w:rFonts w:hint="default" w:ascii="仿宋_GB2312" w:hAnsi="仿宋_GB2312" w:eastAsia="仿宋_GB2312" w:cs="仿宋_GB2312"/>
          <w:kern w:val="0"/>
          <w:sz w:val="32"/>
          <w:szCs w:val="32"/>
          <w:lang w:val="en-US" w:eastAsia="zh-CN"/>
        </w:rPr>
        <w:t>眼镜镜片 第1部分：单焦和多焦</w:t>
      </w:r>
      <w:r>
        <w:rPr>
          <w:rFonts w:hint="default" w:ascii="仿宋_GB2312" w:hAnsi="仿宋_GB2312" w:eastAsia="仿宋_GB2312" w:cs="仿宋_GB2312"/>
          <w:kern w:val="0"/>
          <w:sz w:val="32"/>
          <w:szCs w:val="32"/>
          <w:lang w:val="en-US" w:eastAsia="zh-CN"/>
        </w:rPr>
        <w:fldChar w:fldCharType="end"/>
      </w:r>
      <w:r>
        <w:rPr>
          <w:rFonts w:hint="eastAsia" w:ascii="仿宋_GB2312" w:hAnsi="仿宋_GB2312" w:eastAsia="仿宋_GB2312" w:cs="仿宋_GB2312"/>
          <w:kern w:val="0"/>
          <w:sz w:val="32"/>
          <w:szCs w:val="32"/>
          <w:lang w:val="en-US" w:eastAsia="zh-CN"/>
        </w:rPr>
        <w:t>》</w:t>
      </w:r>
    </w:p>
    <w:p w14:paraId="780BAF3E">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lang w:val="en-US" w:eastAsia="zh-CN"/>
        </w:rPr>
      </w:pPr>
      <w:r>
        <w:rPr>
          <w:rFonts w:hint="eastAsia" w:ascii="仿宋_GB2312" w:hAnsi="仿宋_GB2312" w:eastAsia="仿宋_GB2312" w:cs="仿宋_GB2312"/>
          <w:kern w:val="0"/>
          <w:sz w:val="32"/>
          <w:szCs w:val="32"/>
          <w:lang w:val="en-US" w:eastAsia="zh-CN"/>
        </w:rPr>
        <w:t>GB/T 10810.3-20</w:t>
      </w:r>
      <w:r>
        <w:rPr>
          <w:rFonts w:hint="eastAsia" w:ascii="仿宋_GB2312" w:hAnsi="仿宋_GB2312" w:cs="仿宋_GB2312"/>
          <w:kern w:val="0"/>
          <w:sz w:val="32"/>
          <w:szCs w:val="32"/>
          <w:lang w:val="en-US" w:eastAsia="zh-CN"/>
        </w:rPr>
        <w:t>25</w:t>
      </w: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lang w:val="en-US" w:eastAsia="zh-CN"/>
        </w:rPr>
        <w:fldChar w:fldCharType="begin"/>
      </w:r>
      <w:r>
        <w:rPr>
          <w:rFonts w:hint="eastAsia" w:ascii="仿宋_GB2312" w:hAnsi="仿宋_GB2312" w:eastAsia="仿宋_GB2312" w:cs="仿宋_GB2312"/>
          <w:kern w:val="0"/>
          <w:sz w:val="32"/>
          <w:szCs w:val="32"/>
          <w:lang w:val="en-US" w:eastAsia="zh-CN"/>
        </w:rPr>
        <w:instrText xml:space="preserve"> HYPERLINK "https://std.samr.gov.cn/gb/search/gbDetailed?id=2FF37940EB68D753E06397BE0A0A413F" \t "https://std.samr.gov.cn/search/stdPage?q=GB/_blank" </w:instrText>
      </w:r>
      <w:r>
        <w:rPr>
          <w:rFonts w:hint="eastAsia" w:ascii="仿宋_GB2312" w:hAnsi="仿宋_GB2312" w:eastAsia="仿宋_GB2312" w:cs="仿宋_GB2312"/>
          <w:kern w:val="0"/>
          <w:sz w:val="32"/>
          <w:szCs w:val="32"/>
          <w:lang w:val="en-US" w:eastAsia="zh-CN"/>
        </w:rPr>
        <w:fldChar w:fldCharType="separate"/>
      </w:r>
      <w:r>
        <w:rPr>
          <w:rFonts w:hint="default" w:ascii="仿宋_GB2312" w:hAnsi="仿宋_GB2312" w:eastAsia="仿宋_GB2312" w:cs="仿宋_GB2312"/>
          <w:kern w:val="0"/>
          <w:sz w:val="32"/>
          <w:szCs w:val="32"/>
          <w:lang w:val="en-US" w:eastAsia="zh-CN"/>
        </w:rPr>
        <w:t>眼镜镜片 第3部分：透射比试验方法</w:t>
      </w:r>
      <w:r>
        <w:rPr>
          <w:rFonts w:hint="default" w:ascii="仿宋_GB2312" w:hAnsi="仿宋_GB2312" w:eastAsia="仿宋_GB2312" w:cs="仿宋_GB2312"/>
          <w:kern w:val="0"/>
          <w:sz w:val="32"/>
          <w:szCs w:val="32"/>
          <w:lang w:val="en-US" w:eastAsia="zh-CN"/>
        </w:rPr>
        <w:fldChar w:fldCharType="end"/>
      </w:r>
      <w:r>
        <w:rPr>
          <w:rFonts w:hint="eastAsia" w:ascii="仿宋_GB2312" w:hAnsi="仿宋_GB2312" w:eastAsia="仿宋_GB2312" w:cs="仿宋_GB2312"/>
          <w:kern w:val="0"/>
          <w:sz w:val="32"/>
          <w:szCs w:val="32"/>
          <w:lang w:val="en-US" w:eastAsia="zh-CN"/>
        </w:rPr>
        <w:t>》</w:t>
      </w:r>
    </w:p>
    <w:p w14:paraId="3F714A61">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现行有效的企业标准、团体标准、地方标准及产品明示质量要求。</w:t>
      </w:r>
    </w:p>
    <w:p w14:paraId="61BD06DD">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w:t>
      </w:r>
      <w:r>
        <w:rPr>
          <w:rFonts w:hint="eastAsia" w:ascii="仿宋_GB2312" w:hAnsi="仿宋_GB2312" w:cs="仿宋_GB2312"/>
          <w:kern w:val="0"/>
          <w:sz w:val="32"/>
          <w:szCs w:val="32"/>
          <w:lang w:val="en-US" w:eastAsia="zh-CN"/>
        </w:rPr>
        <w:t>.</w:t>
      </w:r>
      <w:r>
        <w:rPr>
          <w:rFonts w:hint="eastAsia" w:ascii="仿宋_GB2312" w:hAnsi="仿宋_GB2312" w:eastAsia="仿宋_GB2312" w:cs="仿宋_GB2312"/>
          <w:kern w:val="0"/>
          <w:sz w:val="32"/>
          <w:szCs w:val="32"/>
          <w:lang w:val="en-US" w:eastAsia="zh-CN"/>
        </w:rPr>
        <w:t>判定原则</w:t>
      </w:r>
    </w:p>
    <w:p w14:paraId="7A0CD445">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经检验，检验项目全部合格，判定为被抽查产品所检项目未发现不合格；检验项目中任一项或一项以上不合格，判定为被抽查产品不合格。</w:t>
      </w:r>
    </w:p>
    <w:p w14:paraId="6AD6ABE2">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若被检产品明示的质量要求高于本细则中检验项目依据的标准要求时，应按被检产品明示的质量要求判定。</w:t>
      </w:r>
    </w:p>
    <w:p w14:paraId="56BD25D8">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若被检产品明示的质量要求低于本细则中检验项目依据的强制性标准要求时，应按照强制性标准要求判定。</w:t>
      </w:r>
    </w:p>
    <w:p w14:paraId="42C3152D">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若被检产品明示的质量要求低于或包含本细则中检验项目依据的推荐性标准要求时，应以被检产品明示的质量要求判定。</w:t>
      </w:r>
    </w:p>
    <w:p w14:paraId="5422F969">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若被检产品明示的质量要求缺少本细则中检验项目依据的强制性标准要求时，应按照强制性标准要求判定。</w:t>
      </w:r>
    </w:p>
    <w:p w14:paraId="440F9434">
      <w:pPr>
        <w:keepNext w:val="0"/>
        <w:keepLines w:val="0"/>
        <w:pageBreakBefore w:val="0"/>
        <w:widowControl/>
        <w:kinsoku/>
        <w:wordWrap/>
        <w:overflowPunct/>
        <w:topLinePunct w:val="0"/>
        <w:autoSpaceDE/>
        <w:autoSpaceDN/>
        <w:bidi w:val="0"/>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lang w:val="en-US" w:eastAsia="zh-CN"/>
        </w:rPr>
        <w:t>若被检产品明示的质量要求缺少本细则中检验项目依据的推荐性标准要求时，该项目不参与判定。</w:t>
      </w:r>
    </w:p>
    <w:p w14:paraId="1B9EB7DE">
      <w:pPr>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4F16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93CF4A">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93CF4A">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iNWMyZWYyODFhMzQ2NzdmOWYxMGJmMzM2NzMyNmMifQ=="/>
  </w:docVars>
  <w:rsids>
    <w:rsidRoot w:val="00FA122C"/>
    <w:rsid w:val="00092474"/>
    <w:rsid w:val="00381DA8"/>
    <w:rsid w:val="003B6A09"/>
    <w:rsid w:val="004017B7"/>
    <w:rsid w:val="00677471"/>
    <w:rsid w:val="00A11EB0"/>
    <w:rsid w:val="00CC2AE2"/>
    <w:rsid w:val="00DC1206"/>
    <w:rsid w:val="00DF64CE"/>
    <w:rsid w:val="00EA3AF9"/>
    <w:rsid w:val="00FA122C"/>
    <w:rsid w:val="01537940"/>
    <w:rsid w:val="021358C1"/>
    <w:rsid w:val="08731931"/>
    <w:rsid w:val="0F6859F5"/>
    <w:rsid w:val="0FBF2F18"/>
    <w:rsid w:val="186B2B9A"/>
    <w:rsid w:val="246759B0"/>
    <w:rsid w:val="37764DFF"/>
    <w:rsid w:val="38A256E7"/>
    <w:rsid w:val="3C315A4B"/>
    <w:rsid w:val="3C994CD9"/>
    <w:rsid w:val="42617155"/>
    <w:rsid w:val="43AF2630"/>
    <w:rsid w:val="46B303F3"/>
    <w:rsid w:val="4CFBD491"/>
    <w:rsid w:val="543B484E"/>
    <w:rsid w:val="562F2BA3"/>
    <w:rsid w:val="56FE4A77"/>
    <w:rsid w:val="590233BD"/>
    <w:rsid w:val="5F1F445B"/>
    <w:rsid w:val="6A9C0E67"/>
    <w:rsid w:val="6B6C6232"/>
    <w:rsid w:val="6EA1734C"/>
    <w:rsid w:val="6EEE5A3B"/>
    <w:rsid w:val="6FE7234F"/>
    <w:rsid w:val="72052921"/>
    <w:rsid w:val="768102D7"/>
    <w:rsid w:val="777B30C0"/>
    <w:rsid w:val="777B472A"/>
    <w:rsid w:val="7906664A"/>
    <w:rsid w:val="7B6315DB"/>
    <w:rsid w:val="FFF46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semiHidden/>
    <w:unhideWhenUsed/>
    <w:qFormat/>
    <w:uiPriority w:val="99"/>
    <w:rPr>
      <w:color w:val="0000FF"/>
      <w:u w:val="single"/>
    </w:rPr>
  </w:style>
  <w:style w:type="character" w:customStyle="1" w:styleId="8">
    <w:name w:val="页脚 Char"/>
    <w:basedOn w:val="6"/>
    <w:link w:val="3"/>
    <w:qFormat/>
    <w:uiPriority w:val="0"/>
    <w:rPr>
      <w:rFonts w:ascii="Times New Roman" w:hAnsi="Times New Roman" w:eastAsia="仿宋_GB2312" w:cs="Times New Roman"/>
      <w:sz w:val="18"/>
      <w:szCs w:val="24"/>
    </w:rPr>
  </w:style>
  <w:style w:type="paragraph" w:customStyle="1" w:styleId="9">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kern w:val="2"/>
      <w:sz w:val="21"/>
      <w:szCs w:val="22"/>
      <w:lang w:val="en-US" w:eastAsia="zh-CN" w:bidi="ar-SA"/>
    </w:rPr>
  </w:style>
  <w:style w:type="paragraph" w:customStyle="1" w:styleId="10">
    <w:name w:val="一级条标题"/>
    <w:next w:val="9"/>
    <w:qFormat/>
    <w:uiPriority w:val="0"/>
    <w:pPr>
      <w:spacing w:beforeLines="50" w:afterLines="50"/>
      <w:ind w:left="716"/>
      <w:outlineLvl w:val="2"/>
    </w:pPr>
    <w:rPr>
      <w:rFonts w:ascii="黑体" w:hAnsi="Calibri" w:eastAsia="黑体" w:cs="Times New Roman"/>
      <w:kern w:val="0"/>
      <w:sz w:val="21"/>
      <w:szCs w:val="21"/>
      <w:lang w:val="en-US" w:eastAsia="zh-CN" w:bidi="ar-SA"/>
    </w:rPr>
  </w:style>
  <w:style w:type="paragraph" w:customStyle="1" w:styleId="11">
    <w:name w:val="二级条标题"/>
    <w:basedOn w:val="10"/>
    <w:next w:val="9"/>
    <w:qFormat/>
    <w:uiPriority w:val="0"/>
    <w:pPr>
      <w:spacing w:before="50" w:after="50"/>
      <w:outlineLvl w:val="3"/>
    </w:pPr>
  </w:style>
  <w:style w:type="paragraph" w:customStyle="1" w:styleId="12">
    <w:name w:val="列出段落2"/>
    <w:basedOn w:val="1"/>
    <w:unhideWhenUsed/>
    <w:qFormat/>
    <w:uiPriority w:val="99"/>
    <w:pPr>
      <w:ind w:firstLine="420" w:firstLineChars="200"/>
    </w:pPr>
    <w:rPr>
      <w:sz w:val="30"/>
    </w:rPr>
  </w:style>
  <w:style w:type="paragraph" w:customStyle="1" w:styleId="13">
    <w:name w:val="Table Paragraph"/>
    <w:basedOn w:val="1"/>
    <w:qFormat/>
    <w:uiPriority w:val="0"/>
    <w:pPr>
      <w:jc w:val="left"/>
    </w:pPr>
    <w:rPr>
      <w:rFonts w:ascii="Calibri" w:hAnsi="Calibri"/>
      <w:kern w:val="0"/>
      <w:sz w:val="22"/>
      <w:szCs w:val="22"/>
      <w:lang w:eastAsia="en-US"/>
    </w:rPr>
  </w:style>
  <w:style w:type="character" w:customStyle="1" w:styleId="14">
    <w:name w:val="页眉 Char"/>
    <w:basedOn w:val="6"/>
    <w:link w:val="4"/>
    <w:qFormat/>
    <w:uiPriority w:val="0"/>
    <w:rPr>
      <w:rFonts w:ascii="Times New Roman" w:hAnsi="Times New Roman" w:eastAsia="仿宋_GB2312" w:cs="Times New Roman"/>
      <w:sz w:val="18"/>
      <w:szCs w:val="18"/>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edaf1b-59ff-4c24-b650-4f1d90048148}">
  <ds:schemaRefs/>
</ds:datastoreItem>
</file>

<file path=docProps/app.xml><?xml version="1.0" encoding="utf-8"?>
<Properties xmlns="http://schemas.openxmlformats.org/officeDocument/2006/extended-properties" xmlns:vt="http://schemas.openxmlformats.org/officeDocument/2006/docPropsVTypes">
  <Template>Normal</Template>
  <Pages>4</Pages>
  <Words>1021</Words>
  <Characters>1407</Characters>
  <Lines>23</Lines>
  <Paragraphs>6</Paragraphs>
  <TotalTime>14</TotalTime>
  <ScaleCrop>false</ScaleCrop>
  <LinksUpToDate>false</LinksUpToDate>
  <CharactersWithSpaces>1462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2020-07-23T09:55:00Z</dcterms:created>
  <dc:creator>zyw</dc:creator>
  <cp:lastModifiedBy>邓雨文</cp:lastModifiedBy>
  <cp:lastPrinted>2024-04-23T07:10:00Z</cp:lastPrinted>
  <dcterms:modified xsi:type="dcterms:W3CDTF">2026-09-15T02:19:21Z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E77522BB74674D98831516B449A0D5D5_13</vt:lpwstr>
  </property>
  <property fmtid="{D5CDD505-2E9C-101B-9397-08002B2CF9AE}" pid="4" name="KSOTemplateDocerSaveRecord">
    <vt:lpwstr>eyJoZGlkIjoiMDE2ZTkyZTQyNTI0ODVjZGU0NDNlNTRkMTEzMmVkODEiLCJ1c2VySWQiOiI2MzY5NzAwMjQifQ==</vt:lpwstr>
  </property>
</Properties>
</file>