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9B68A5">
      <w:pPr>
        <w:widowControl/>
        <w:spacing w:line="600" w:lineRule="exact"/>
        <w:rPr>
          <w:rFonts w:hint="default" w:ascii="仿宋_GB2312" w:hAnsi="仿宋_GB2312" w:eastAsia="仿宋_GB2312" w:cs="仿宋_GB2312"/>
          <w:kern w:val="0"/>
          <w:sz w:val="32"/>
          <w:szCs w:val="32"/>
          <w:lang w:val="en-US" w:eastAsia="zh-CN"/>
        </w:rPr>
      </w:pPr>
      <w:bookmarkStart w:id="1" w:name="_GoBack"/>
      <w:bookmarkEnd w:id="1"/>
      <w:r>
        <w:rPr>
          <w:rFonts w:hint="eastAsia" w:ascii="仿宋_GB2312" w:hAnsi="仿宋_GB2312" w:eastAsia="仿宋_GB2312" w:cs="仿宋_GB2312"/>
          <w:kern w:val="0"/>
          <w:sz w:val="32"/>
          <w:szCs w:val="32"/>
          <w:lang w:val="en-US" w:eastAsia="zh-CN"/>
        </w:rPr>
        <w:t>附件</w:t>
      </w:r>
      <w:r>
        <w:rPr>
          <w:rFonts w:hint="eastAsia" w:ascii="仿宋_GB2312" w:hAnsi="仿宋_GB2312" w:cs="仿宋_GB2312"/>
          <w:kern w:val="0"/>
          <w:sz w:val="32"/>
          <w:szCs w:val="32"/>
          <w:lang w:val="en-US" w:eastAsia="zh-CN"/>
        </w:rPr>
        <w:t>5</w:t>
      </w:r>
    </w:p>
    <w:p w14:paraId="0F3ADA77">
      <w:pPr>
        <w:keepNext w:val="0"/>
        <w:keepLines w:val="0"/>
        <w:pageBreakBefore w:val="0"/>
        <w:widowControl/>
        <w:kinsoku/>
        <w:wordWrap/>
        <w:overflowPunct/>
        <w:topLinePunct w:val="0"/>
        <w:autoSpaceDE/>
        <w:autoSpaceDN/>
        <w:bidi w:val="0"/>
        <w:adjustRightInd/>
        <w:snapToGrid/>
        <w:spacing w:line="680" w:lineRule="exact"/>
        <w:jc w:val="center"/>
        <w:textAlignment w:val="auto"/>
        <w:rPr>
          <w:rFonts w:hint="eastAsia" w:eastAsia="方正小标宋简体" w:cs="方正小标宋简体"/>
          <w:bCs/>
          <w:spacing w:val="-20"/>
          <w:sz w:val="44"/>
          <w:szCs w:val="44"/>
        </w:rPr>
      </w:pPr>
      <w:r>
        <w:rPr>
          <w:rFonts w:hint="eastAsia" w:eastAsia="方正小标宋简体" w:cs="方正小标宋简体"/>
          <w:bCs/>
          <w:spacing w:val="-20"/>
          <w:sz w:val="44"/>
          <w:szCs w:val="44"/>
          <w:lang w:val="en-US" w:eastAsia="zh-CN"/>
        </w:rPr>
        <w:t>工业气体</w:t>
      </w:r>
      <w:r>
        <w:rPr>
          <w:rFonts w:hint="eastAsia" w:eastAsia="方正小标宋简体" w:cs="方正小标宋简体"/>
          <w:bCs/>
          <w:spacing w:val="-20"/>
          <w:sz w:val="44"/>
          <w:szCs w:val="44"/>
        </w:rPr>
        <w:t>质量监督</w:t>
      </w:r>
      <w:r>
        <w:rPr>
          <w:rFonts w:hint="eastAsia" w:eastAsia="方正小标宋简体" w:cs="方正小标宋简体"/>
          <w:bCs/>
          <w:spacing w:val="-20"/>
          <w:sz w:val="44"/>
          <w:szCs w:val="44"/>
          <w:lang w:eastAsia="zh-CN"/>
        </w:rPr>
        <w:t>抽查</w:t>
      </w:r>
      <w:r>
        <w:rPr>
          <w:rFonts w:hint="eastAsia" w:eastAsia="方正小标宋简体" w:cs="方正小标宋简体"/>
          <w:bCs/>
          <w:spacing w:val="-20"/>
          <w:sz w:val="44"/>
          <w:szCs w:val="44"/>
        </w:rPr>
        <w:t>实施细则</w:t>
      </w:r>
    </w:p>
    <w:p w14:paraId="6DB63C94">
      <w:pPr>
        <w:keepNext w:val="0"/>
        <w:keepLines w:val="0"/>
        <w:pageBreakBefore w:val="0"/>
        <w:widowControl/>
        <w:kinsoku/>
        <w:wordWrap/>
        <w:overflowPunct/>
        <w:topLinePunct w:val="0"/>
        <w:autoSpaceDE/>
        <w:autoSpaceDN/>
        <w:bidi w:val="0"/>
        <w:adjustRightInd/>
        <w:snapToGrid/>
        <w:spacing w:line="680" w:lineRule="exact"/>
        <w:jc w:val="center"/>
        <w:textAlignment w:val="auto"/>
        <w:rPr>
          <w:rFonts w:hint="eastAsia" w:eastAsia="方正小标宋简体" w:cs="方正小标宋简体"/>
          <w:bCs/>
          <w:spacing w:val="-20"/>
          <w:sz w:val="44"/>
          <w:szCs w:val="44"/>
          <w:lang w:eastAsia="zh-CN"/>
        </w:rPr>
      </w:pPr>
      <w:r>
        <w:rPr>
          <w:rFonts w:hint="eastAsia" w:eastAsia="方正小标宋简体" w:cs="方正小标宋简体"/>
          <w:bCs/>
          <w:spacing w:val="-20"/>
          <w:sz w:val="44"/>
          <w:szCs w:val="44"/>
          <w:lang w:eastAsia="zh-CN"/>
        </w:rPr>
        <w:t>（</w:t>
      </w:r>
      <w:r>
        <w:rPr>
          <w:rFonts w:hint="eastAsia" w:eastAsia="方正小标宋简体" w:cs="方正小标宋简体"/>
          <w:bCs/>
          <w:spacing w:val="-20"/>
          <w:sz w:val="44"/>
          <w:szCs w:val="44"/>
          <w:lang w:val="en-US" w:eastAsia="zh-CN"/>
        </w:rPr>
        <w:t>2026版</w:t>
      </w:r>
      <w:r>
        <w:rPr>
          <w:rFonts w:hint="eastAsia" w:eastAsia="方正小标宋简体" w:cs="方正小标宋简体"/>
          <w:bCs/>
          <w:spacing w:val="-20"/>
          <w:sz w:val="44"/>
          <w:szCs w:val="44"/>
          <w:lang w:eastAsia="zh-CN"/>
        </w:rPr>
        <w:t>）</w:t>
      </w:r>
    </w:p>
    <w:p w14:paraId="0BE1A67A">
      <w:pPr>
        <w:spacing w:line="660" w:lineRule="exact"/>
        <w:ind w:firstLine="880" w:firstLineChars="200"/>
        <w:rPr>
          <w:rFonts w:eastAsia="方正小标宋简体" w:cs="方正小标宋简体"/>
          <w:sz w:val="44"/>
          <w:szCs w:val="44"/>
        </w:rPr>
      </w:pPr>
    </w:p>
    <w:p w14:paraId="59339BC6">
      <w:pPr>
        <w:snapToGrid w:val="0"/>
        <w:spacing w:line="4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一、抽样方法</w:t>
      </w:r>
    </w:p>
    <w:p w14:paraId="36EDB2A6">
      <w:pPr>
        <w:widowControl/>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以随机抽样的方式在被</w:t>
      </w:r>
      <w:r>
        <w:rPr>
          <w:rFonts w:hint="eastAsia" w:ascii="仿宋_GB2312" w:hAnsi="仿宋_GB2312" w:eastAsia="仿宋_GB2312" w:cs="仿宋_GB2312"/>
          <w:kern w:val="0"/>
          <w:sz w:val="32"/>
          <w:szCs w:val="32"/>
          <w:lang w:eastAsia="zh-CN"/>
        </w:rPr>
        <w:t>抽查市场主体</w:t>
      </w:r>
      <w:r>
        <w:rPr>
          <w:rFonts w:hint="eastAsia" w:ascii="仿宋_GB2312" w:hAnsi="仿宋_GB2312" w:eastAsia="仿宋_GB2312" w:cs="仿宋_GB2312"/>
          <w:kern w:val="0"/>
          <w:sz w:val="32"/>
          <w:szCs w:val="32"/>
        </w:rPr>
        <w:t>的待销产品中抽取</w:t>
      </w:r>
      <w:r>
        <w:rPr>
          <w:rFonts w:hint="eastAsia" w:ascii="仿宋_GB2312" w:hAnsi="仿宋_GB2312" w:cs="仿宋_GB2312"/>
          <w:kern w:val="0"/>
          <w:sz w:val="32"/>
          <w:szCs w:val="32"/>
          <w:lang w:eastAsia="zh-CN"/>
        </w:rPr>
        <w:t>样品</w:t>
      </w:r>
      <w:r>
        <w:rPr>
          <w:rFonts w:hint="eastAsia" w:ascii="仿宋_GB2312" w:hAnsi="仿宋_GB2312" w:eastAsia="仿宋_GB2312" w:cs="仿宋_GB2312"/>
          <w:kern w:val="0"/>
          <w:sz w:val="32"/>
          <w:szCs w:val="32"/>
        </w:rPr>
        <w:t>。</w:t>
      </w:r>
    </w:p>
    <w:p w14:paraId="1171FDFF">
      <w:pPr>
        <w:widowControl/>
        <w:spacing w:line="60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随机数一般可使用随机数表等方法产生。</w:t>
      </w:r>
    </w:p>
    <w:p w14:paraId="32861CD4">
      <w:pPr>
        <w:widowControl/>
        <w:spacing w:line="60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抽查数量：每随机抽取的试样量</w:t>
      </w:r>
      <w:r>
        <w:rPr>
          <w:rFonts w:hint="eastAsia" w:ascii="仿宋_GB2312" w:hAnsi="仿宋_GB2312" w:eastAsia="仿宋_GB2312" w:cs="仿宋_GB2312"/>
          <w:kern w:val="0"/>
          <w:sz w:val="32"/>
          <w:szCs w:val="32"/>
          <w:lang w:eastAsia="zh-CN"/>
        </w:rPr>
        <w:t>为</w:t>
      </w:r>
      <w:r>
        <w:rPr>
          <w:rFonts w:hint="eastAsia" w:ascii="仿宋_GB2312" w:hAnsi="仿宋_GB2312" w:eastAsia="仿宋_GB2312" w:cs="仿宋_GB2312"/>
          <w:kern w:val="0"/>
          <w:sz w:val="32"/>
          <w:szCs w:val="32"/>
          <w:lang w:val="en-US" w:eastAsia="zh-CN"/>
        </w:rPr>
        <w:t>2瓶，其中</w:t>
      </w:r>
      <w:r>
        <w:rPr>
          <w:rFonts w:hint="eastAsia" w:ascii="仿宋_GB2312" w:hAnsi="仿宋_GB2312" w:eastAsia="仿宋_GB2312" w:cs="仿宋_GB2312"/>
          <w:kern w:val="0"/>
          <w:sz w:val="32"/>
          <w:szCs w:val="32"/>
        </w:rPr>
        <w:t>1</w:t>
      </w:r>
      <w:r>
        <w:rPr>
          <w:rFonts w:hint="eastAsia" w:ascii="仿宋_GB2312" w:hAnsi="仿宋_GB2312" w:eastAsia="仿宋_GB2312" w:cs="仿宋_GB2312"/>
          <w:kern w:val="0"/>
          <w:sz w:val="32"/>
          <w:szCs w:val="32"/>
          <w:lang w:eastAsia="zh-CN"/>
        </w:rPr>
        <w:t>瓶</w:t>
      </w:r>
      <w:r>
        <w:rPr>
          <w:rFonts w:hint="eastAsia" w:ascii="仿宋_GB2312" w:hAnsi="仿宋_GB2312" w:eastAsia="仿宋_GB2312" w:cs="仿宋_GB2312"/>
          <w:kern w:val="0"/>
          <w:sz w:val="32"/>
          <w:szCs w:val="32"/>
        </w:rPr>
        <w:t>作为检验样品，1</w:t>
      </w:r>
      <w:r>
        <w:rPr>
          <w:rFonts w:hint="eastAsia" w:ascii="仿宋_GB2312" w:hAnsi="仿宋_GB2312" w:eastAsia="仿宋_GB2312" w:cs="仿宋_GB2312"/>
          <w:kern w:val="0"/>
          <w:sz w:val="32"/>
          <w:szCs w:val="32"/>
          <w:lang w:eastAsia="zh-CN"/>
        </w:rPr>
        <w:t>瓶</w:t>
      </w:r>
      <w:r>
        <w:rPr>
          <w:rFonts w:hint="eastAsia" w:ascii="仿宋_GB2312" w:hAnsi="仿宋_GB2312" w:eastAsia="仿宋_GB2312" w:cs="仿宋_GB2312"/>
          <w:kern w:val="0"/>
          <w:sz w:val="32"/>
          <w:szCs w:val="32"/>
        </w:rPr>
        <w:t>作为留样样品</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备用样品封存于</w:t>
      </w:r>
      <w:r>
        <w:rPr>
          <w:rFonts w:hint="eastAsia" w:ascii="仿宋_GB2312" w:hAnsi="仿宋_GB2312" w:eastAsia="仿宋_GB2312" w:cs="仿宋_GB2312"/>
          <w:kern w:val="0"/>
          <w:sz w:val="32"/>
          <w:szCs w:val="32"/>
          <w:lang w:eastAsia="zh-CN"/>
        </w:rPr>
        <w:t>被抽查</w:t>
      </w:r>
      <w:r>
        <w:rPr>
          <w:rFonts w:hint="eastAsia" w:ascii="仿宋_GB2312" w:hAnsi="仿宋_GB2312" w:eastAsia="仿宋_GB2312" w:cs="仿宋_GB2312"/>
          <w:kern w:val="0"/>
          <w:sz w:val="32"/>
          <w:szCs w:val="32"/>
        </w:rPr>
        <w:t>单位。</w:t>
      </w:r>
    </w:p>
    <w:p w14:paraId="756D25FA">
      <w:pPr>
        <w:snapToGrid w:val="0"/>
        <w:spacing w:line="440" w:lineRule="exact"/>
        <w:ind w:firstLine="640" w:firstLineChars="200"/>
        <w:rPr>
          <w:rFonts w:hint="eastAsia" w:ascii="仿宋_GB2312" w:hAnsi="仿宋_GB2312" w:eastAsia="仿宋_GB2312" w:cs="仿宋_GB2312"/>
          <w:b/>
          <w:bCs/>
          <w:color w:val="000000"/>
          <w:sz w:val="32"/>
          <w:szCs w:val="32"/>
        </w:rPr>
      </w:pPr>
      <w:r>
        <w:rPr>
          <w:rFonts w:hint="eastAsia" w:ascii="仿宋_GB2312" w:hAnsi="仿宋_GB2312" w:eastAsia="仿宋_GB2312" w:cs="仿宋_GB2312"/>
          <w:sz w:val="32"/>
          <w:szCs w:val="32"/>
          <w:lang w:val="en-US" w:eastAsia="zh-CN"/>
        </w:rPr>
        <w:t>二、检验依据</w:t>
      </w:r>
    </w:p>
    <w:p w14:paraId="226B11D5">
      <w:pPr>
        <w:spacing w:line="59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kern w:val="0"/>
          <w:sz w:val="24"/>
          <w:szCs w:val="24"/>
          <w:lang w:val="en-US" w:eastAsia="zh-CN"/>
        </w:rPr>
        <w:t>.</w:t>
      </w:r>
      <w:r>
        <w:rPr>
          <w:rFonts w:hint="eastAsia" w:ascii="宋体" w:hAnsi="宋体" w:eastAsia="宋体" w:cs="宋体"/>
          <w:kern w:val="0"/>
          <w:sz w:val="24"/>
          <w:szCs w:val="24"/>
          <w:lang w:eastAsia="zh-CN"/>
        </w:rPr>
        <w:t>乙炔</w:t>
      </w:r>
    </w:p>
    <w:tbl>
      <w:tblPr>
        <w:tblStyle w:val="5"/>
        <w:tblW w:w="83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0"/>
        <w:gridCol w:w="2196"/>
        <w:gridCol w:w="4695"/>
      </w:tblGrid>
      <w:tr w14:paraId="5FD52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tblHeader/>
          <w:jc w:val="center"/>
        </w:trPr>
        <w:tc>
          <w:tcPr>
            <w:tcW w:w="1480" w:type="dxa"/>
            <w:tcBorders>
              <w:top w:val="single" w:color="auto" w:sz="4" w:space="0"/>
              <w:left w:val="single" w:color="auto" w:sz="4" w:space="0"/>
              <w:bottom w:val="single" w:color="auto" w:sz="4" w:space="0"/>
              <w:right w:val="single" w:color="auto" w:sz="4" w:space="0"/>
            </w:tcBorders>
            <w:shd w:val="clear" w:color="auto" w:fill="D8D8D8"/>
            <w:vAlign w:val="center"/>
          </w:tcPr>
          <w:p w14:paraId="2C3B3087">
            <w:pPr>
              <w:adjustRightInd w:val="0"/>
              <w:snapToGrid w:val="0"/>
              <w:spacing w:before="100" w:beforeAutospacing="1" w:after="100" w:afterAutospacing="1" w:line="240" w:lineRule="exact"/>
              <w:jc w:val="center"/>
              <w:rPr>
                <w:rFonts w:hint="eastAsia" w:ascii="宋体" w:hAnsi="宋体" w:eastAsia="宋体" w:cs="宋体"/>
                <w:bCs/>
                <w:sz w:val="24"/>
                <w:szCs w:val="24"/>
              </w:rPr>
            </w:pPr>
            <w:r>
              <w:rPr>
                <w:rFonts w:hint="eastAsia" w:ascii="宋体" w:hAnsi="宋体" w:eastAsia="宋体" w:cs="宋体"/>
                <w:bCs/>
                <w:sz w:val="24"/>
                <w:szCs w:val="24"/>
              </w:rPr>
              <w:t>序号</w:t>
            </w:r>
          </w:p>
        </w:tc>
        <w:tc>
          <w:tcPr>
            <w:tcW w:w="2196" w:type="dxa"/>
            <w:tcBorders>
              <w:top w:val="single" w:color="auto" w:sz="4" w:space="0"/>
              <w:left w:val="single" w:color="auto" w:sz="4" w:space="0"/>
              <w:bottom w:val="single" w:color="auto" w:sz="4" w:space="0"/>
              <w:right w:val="single" w:color="auto" w:sz="4" w:space="0"/>
            </w:tcBorders>
            <w:shd w:val="clear" w:color="auto" w:fill="D8D8D8"/>
            <w:vAlign w:val="center"/>
          </w:tcPr>
          <w:p w14:paraId="793A8CFD">
            <w:pPr>
              <w:adjustRightInd w:val="0"/>
              <w:snapToGrid w:val="0"/>
              <w:spacing w:before="100" w:beforeAutospacing="1" w:after="100" w:afterAutospacing="1" w:line="240" w:lineRule="exact"/>
              <w:jc w:val="center"/>
              <w:rPr>
                <w:rFonts w:hint="eastAsia" w:ascii="宋体" w:hAnsi="宋体" w:eastAsia="宋体" w:cs="宋体"/>
                <w:bCs/>
                <w:sz w:val="24"/>
                <w:szCs w:val="24"/>
              </w:rPr>
            </w:pPr>
            <w:r>
              <w:rPr>
                <w:rFonts w:hint="eastAsia" w:ascii="宋体" w:hAnsi="宋体" w:eastAsia="宋体" w:cs="宋体"/>
                <w:bCs/>
                <w:sz w:val="24"/>
                <w:szCs w:val="24"/>
              </w:rPr>
              <w:t>检验项目</w:t>
            </w:r>
          </w:p>
        </w:tc>
        <w:tc>
          <w:tcPr>
            <w:tcW w:w="4695" w:type="dxa"/>
            <w:tcBorders>
              <w:top w:val="single" w:color="auto" w:sz="4" w:space="0"/>
              <w:left w:val="single" w:color="auto" w:sz="4" w:space="0"/>
              <w:bottom w:val="single" w:color="auto" w:sz="4" w:space="0"/>
              <w:right w:val="single" w:color="auto" w:sz="4" w:space="0"/>
            </w:tcBorders>
            <w:shd w:val="clear" w:color="auto" w:fill="D8D8D8"/>
            <w:vAlign w:val="center"/>
          </w:tcPr>
          <w:p w14:paraId="61E39619">
            <w:pPr>
              <w:adjustRightInd w:val="0"/>
              <w:snapToGrid w:val="0"/>
              <w:spacing w:before="100" w:beforeAutospacing="1" w:after="100" w:afterAutospacing="1" w:line="240" w:lineRule="exact"/>
              <w:jc w:val="center"/>
              <w:rPr>
                <w:rFonts w:hint="eastAsia" w:ascii="宋体" w:hAnsi="宋体" w:eastAsia="宋体" w:cs="宋体"/>
                <w:bCs/>
                <w:sz w:val="24"/>
                <w:szCs w:val="24"/>
                <w:lang w:eastAsia="zh-CN"/>
              </w:rPr>
            </w:pPr>
            <w:r>
              <w:rPr>
                <w:rFonts w:hint="eastAsia" w:ascii="宋体" w:hAnsi="宋体" w:eastAsia="宋体" w:cs="宋体"/>
                <w:bCs/>
                <w:sz w:val="24"/>
                <w:szCs w:val="24"/>
                <w:lang w:eastAsia="zh-CN"/>
              </w:rPr>
              <w:t>检验方法</w:t>
            </w:r>
          </w:p>
        </w:tc>
      </w:tr>
      <w:tr w14:paraId="69280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80" w:type="dxa"/>
            <w:tcBorders>
              <w:top w:val="single" w:color="auto" w:sz="4" w:space="0"/>
              <w:left w:val="single" w:color="auto" w:sz="4" w:space="0"/>
              <w:bottom w:val="single" w:color="auto" w:sz="4" w:space="0"/>
              <w:right w:val="single" w:color="auto" w:sz="4" w:space="0"/>
            </w:tcBorders>
            <w:vAlign w:val="center"/>
          </w:tcPr>
          <w:p w14:paraId="2B825278">
            <w:pPr>
              <w:pStyle w:val="11"/>
              <w:widowControl/>
              <w:numPr>
                <w:ilvl w:val="0"/>
                <w:numId w:val="1"/>
              </w:numPr>
              <w:tabs>
                <w:tab w:val="left" w:pos="310"/>
              </w:tabs>
              <w:ind w:left="0" w:firstLine="0" w:firstLineChars="0"/>
              <w:jc w:val="center"/>
              <w:rPr>
                <w:rFonts w:hint="eastAsia" w:ascii="宋体" w:hAnsi="宋体" w:eastAsia="宋体" w:cs="宋体"/>
                <w:sz w:val="24"/>
                <w:szCs w:val="24"/>
              </w:rPr>
            </w:pPr>
          </w:p>
        </w:tc>
        <w:tc>
          <w:tcPr>
            <w:tcW w:w="2196" w:type="dxa"/>
            <w:tcBorders>
              <w:top w:val="single" w:color="auto" w:sz="4" w:space="0"/>
              <w:left w:val="single" w:color="auto" w:sz="4" w:space="0"/>
              <w:bottom w:val="single" w:color="auto" w:sz="4" w:space="0"/>
              <w:right w:val="single" w:color="auto" w:sz="4" w:space="0"/>
            </w:tcBorders>
            <w:vAlign w:val="center"/>
          </w:tcPr>
          <w:p w14:paraId="3C41E6CC">
            <w:pPr>
              <w:spacing w:line="320" w:lineRule="exact"/>
              <w:jc w:val="center"/>
              <w:rPr>
                <w:rFonts w:hint="eastAsia" w:ascii="宋体" w:hAnsi="宋体" w:eastAsia="宋体" w:cs="宋体"/>
                <w:spacing w:val="-6"/>
                <w:sz w:val="24"/>
                <w:szCs w:val="24"/>
              </w:rPr>
            </w:pPr>
            <w:r>
              <w:rPr>
                <w:rFonts w:hint="eastAsia" w:ascii="宋体" w:hAnsi="宋体" w:eastAsia="宋体" w:cs="宋体"/>
                <w:spacing w:val="-6"/>
                <w:sz w:val="24"/>
                <w:szCs w:val="24"/>
              </w:rPr>
              <w:t>乙炔含量</w:t>
            </w:r>
          </w:p>
        </w:tc>
        <w:tc>
          <w:tcPr>
            <w:tcW w:w="4695" w:type="dxa"/>
            <w:tcBorders>
              <w:top w:val="single" w:color="auto" w:sz="4" w:space="0"/>
              <w:left w:val="single" w:color="auto" w:sz="4" w:space="0"/>
              <w:bottom w:val="single" w:color="auto" w:sz="4" w:space="0"/>
              <w:right w:val="single" w:color="auto" w:sz="4" w:space="0"/>
            </w:tcBorders>
            <w:vAlign w:val="center"/>
          </w:tcPr>
          <w:p w14:paraId="5A047CA5">
            <w:pPr>
              <w:spacing w:line="320" w:lineRule="exact"/>
              <w:jc w:val="center"/>
              <w:rPr>
                <w:rFonts w:hint="default" w:ascii="宋体" w:hAnsi="宋体" w:eastAsia="宋体" w:cs="宋体"/>
                <w:spacing w:val="-6"/>
                <w:sz w:val="24"/>
                <w:szCs w:val="24"/>
                <w:lang w:val="en-US" w:eastAsia="zh-CN"/>
              </w:rPr>
            </w:pPr>
            <w:r>
              <w:rPr>
                <w:rFonts w:hint="eastAsia" w:ascii="宋体" w:hAnsi="宋体" w:eastAsia="宋体" w:cs="宋体"/>
                <w:spacing w:val="-6"/>
                <w:sz w:val="24"/>
                <w:szCs w:val="24"/>
              </w:rPr>
              <w:t>GB 6819</w:t>
            </w:r>
            <w:r>
              <w:rPr>
                <w:rFonts w:hint="eastAsia" w:ascii="宋体" w:hAnsi="宋体" w:eastAsia="宋体" w:cs="宋体"/>
                <w:spacing w:val="-6"/>
                <w:sz w:val="24"/>
                <w:szCs w:val="24"/>
                <w:lang w:val="en-US" w:eastAsia="zh-CN"/>
              </w:rPr>
              <w:t>-2004</w:t>
            </w:r>
          </w:p>
        </w:tc>
      </w:tr>
      <w:tr w14:paraId="79AFE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80" w:type="dxa"/>
            <w:tcBorders>
              <w:top w:val="single" w:color="auto" w:sz="4" w:space="0"/>
              <w:left w:val="single" w:color="auto" w:sz="4" w:space="0"/>
              <w:bottom w:val="single" w:color="auto" w:sz="4" w:space="0"/>
              <w:right w:val="single" w:color="auto" w:sz="4" w:space="0"/>
            </w:tcBorders>
            <w:vAlign w:val="center"/>
          </w:tcPr>
          <w:p w14:paraId="6CF377E5">
            <w:pPr>
              <w:pStyle w:val="11"/>
              <w:widowControl/>
              <w:numPr>
                <w:ilvl w:val="0"/>
                <w:numId w:val="1"/>
              </w:numPr>
              <w:tabs>
                <w:tab w:val="left" w:pos="310"/>
              </w:tabs>
              <w:ind w:left="0" w:firstLine="0" w:firstLineChars="0"/>
              <w:jc w:val="center"/>
              <w:rPr>
                <w:rFonts w:hint="eastAsia" w:ascii="宋体" w:hAnsi="宋体" w:eastAsia="宋体" w:cs="宋体"/>
                <w:sz w:val="24"/>
                <w:szCs w:val="24"/>
              </w:rPr>
            </w:pPr>
          </w:p>
        </w:tc>
        <w:tc>
          <w:tcPr>
            <w:tcW w:w="2196" w:type="dxa"/>
            <w:tcBorders>
              <w:top w:val="single" w:color="auto" w:sz="4" w:space="0"/>
              <w:left w:val="single" w:color="auto" w:sz="4" w:space="0"/>
              <w:bottom w:val="single" w:color="auto" w:sz="4" w:space="0"/>
              <w:right w:val="single" w:color="auto" w:sz="4" w:space="0"/>
            </w:tcBorders>
            <w:vAlign w:val="center"/>
          </w:tcPr>
          <w:p w14:paraId="4B847043">
            <w:pPr>
              <w:spacing w:line="320" w:lineRule="exact"/>
              <w:jc w:val="center"/>
              <w:rPr>
                <w:rFonts w:hint="eastAsia" w:ascii="宋体" w:hAnsi="宋体" w:eastAsia="宋体" w:cs="宋体"/>
                <w:spacing w:val="-6"/>
                <w:sz w:val="24"/>
                <w:szCs w:val="24"/>
              </w:rPr>
            </w:pPr>
            <w:r>
              <w:rPr>
                <w:rFonts w:hint="eastAsia" w:ascii="宋体" w:hAnsi="宋体" w:eastAsia="宋体" w:cs="宋体"/>
                <w:spacing w:val="-6"/>
                <w:sz w:val="24"/>
                <w:szCs w:val="24"/>
              </w:rPr>
              <w:t>磷化氢、硫化氢</w:t>
            </w:r>
          </w:p>
        </w:tc>
        <w:tc>
          <w:tcPr>
            <w:tcW w:w="4695" w:type="dxa"/>
            <w:tcBorders>
              <w:top w:val="single" w:color="auto" w:sz="4" w:space="0"/>
              <w:left w:val="single" w:color="auto" w:sz="4" w:space="0"/>
              <w:bottom w:val="single" w:color="auto" w:sz="4" w:space="0"/>
              <w:right w:val="single" w:color="auto" w:sz="4" w:space="0"/>
            </w:tcBorders>
            <w:vAlign w:val="center"/>
          </w:tcPr>
          <w:p w14:paraId="6DD0BAF9">
            <w:pPr>
              <w:spacing w:line="320" w:lineRule="exact"/>
              <w:jc w:val="center"/>
              <w:rPr>
                <w:rFonts w:hint="eastAsia" w:ascii="宋体" w:hAnsi="宋体" w:eastAsia="宋体" w:cs="宋体"/>
                <w:spacing w:val="-6"/>
                <w:sz w:val="24"/>
                <w:szCs w:val="24"/>
              </w:rPr>
            </w:pPr>
            <w:r>
              <w:rPr>
                <w:rFonts w:hint="eastAsia" w:ascii="宋体" w:hAnsi="宋体" w:eastAsia="宋体" w:cs="宋体"/>
                <w:spacing w:val="-6"/>
                <w:sz w:val="24"/>
                <w:szCs w:val="24"/>
              </w:rPr>
              <w:t>GB 6819</w:t>
            </w:r>
            <w:r>
              <w:rPr>
                <w:rFonts w:hint="eastAsia" w:ascii="宋体" w:hAnsi="宋体" w:eastAsia="宋体" w:cs="宋体"/>
                <w:spacing w:val="-6"/>
                <w:sz w:val="24"/>
                <w:szCs w:val="24"/>
                <w:lang w:val="en-US" w:eastAsia="zh-CN"/>
              </w:rPr>
              <w:t>-2004</w:t>
            </w:r>
          </w:p>
        </w:tc>
      </w:tr>
    </w:tbl>
    <w:p w14:paraId="2EE98DF9">
      <w:pPr>
        <w:spacing w:line="590" w:lineRule="exact"/>
        <w:ind w:firstLine="480" w:firstLineChars="200"/>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2.纯氢</w:t>
      </w:r>
    </w:p>
    <w:tbl>
      <w:tblPr>
        <w:tblStyle w:val="5"/>
        <w:tblW w:w="8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2196"/>
        <w:gridCol w:w="4729"/>
      </w:tblGrid>
      <w:tr w14:paraId="776F1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tblHeader/>
          <w:jc w:val="center"/>
        </w:trPr>
        <w:tc>
          <w:tcPr>
            <w:tcW w:w="1420" w:type="dxa"/>
            <w:tcBorders>
              <w:top w:val="single" w:color="auto" w:sz="4" w:space="0"/>
              <w:left w:val="single" w:color="auto" w:sz="4" w:space="0"/>
              <w:bottom w:val="single" w:color="auto" w:sz="4" w:space="0"/>
              <w:right w:val="single" w:color="auto" w:sz="4" w:space="0"/>
            </w:tcBorders>
            <w:shd w:val="clear" w:color="auto" w:fill="D8D8D8"/>
            <w:vAlign w:val="center"/>
          </w:tcPr>
          <w:p w14:paraId="7B8D96EC">
            <w:pPr>
              <w:adjustRightInd w:val="0"/>
              <w:snapToGrid w:val="0"/>
              <w:spacing w:before="100" w:beforeAutospacing="1" w:after="100" w:afterAutospacing="1" w:line="240" w:lineRule="exact"/>
              <w:jc w:val="center"/>
              <w:rPr>
                <w:rFonts w:hint="eastAsia" w:ascii="宋体" w:hAnsi="宋体" w:eastAsia="宋体" w:cs="宋体"/>
                <w:bCs/>
                <w:sz w:val="24"/>
                <w:szCs w:val="24"/>
              </w:rPr>
            </w:pPr>
            <w:r>
              <w:rPr>
                <w:rFonts w:hint="eastAsia" w:ascii="宋体" w:hAnsi="宋体" w:eastAsia="宋体" w:cs="宋体"/>
                <w:bCs/>
                <w:sz w:val="24"/>
                <w:szCs w:val="24"/>
              </w:rPr>
              <w:t>序号</w:t>
            </w:r>
          </w:p>
        </w:tc>
        <w:tc>
          <w:tcPr>
            <w:tcW w:w="2196" w:type="dxa"/>
            <w:tcBorders>
              <w:top w:val="single" w:color="auto" w:sz="4" w:space="0"/>
              <w:left w:val="single" w:color="auto" w:sz="4" w:space="0"/>
              <w:bottom w:val="single" w:color="auto" w:sz="4" w:space="0"/>
              <w:right w:val="single" w:color="auto" w:sz="4" w:space="0"/>
            </w:tcBorders>
            <w:shd w:val="clear" w:color="auto" w:fill="D8D8D8"/>
            <w:vAlign w:val="center"/>
          </w:tcPr>
          <w:p w14:paraId="595C2F78">
            <w:pPr>
              <w:adjustRightInd w:val="0"/>
              <w:snapToGrid w:val="0"/>
              <w:spacing w:before="100" w:beforeAutospacing="1" w:after="100" w:afterAutospacing="1" w:line="240" w:lineRule="exact"/>
              <w:jc w:val="center"/>
              <w:rPr>
                <w:rFonts w:hint="eastAsia" w:ascii="宋体" w:hAnsi="宋体" w:eastAsia="宋体" w:cs="宋体"/>
                <w:bCs/>
                <w:sz w:val="24"/>
                <w:szCs w:val="24"/>
              </w:rPr>
            </w:pPr>
            <w:r>
              <w:rPr>
                <w:rFonts w:hint="eastAsia" w:ascii="宋体" w:hAnsi="宋体" w:eastAsia="宋体" w:cs="宋体"/>
                <w:bCs/>
                <w:sz w:val="24"/>
                <w:szCs w:val="24"/>
              </w:rPr>
              <w:t>检验项目</w:t>
            </w:r>
          </w:p>
        </w:tc>
        <w:tc>
          <w:tcPr>
            <w:tcW w:w="4729" w:type="dxa"/>
            <w:tcBorders>
              <w:top w:val="single" w:color="auto" w:sz="4" w:space="0"/>
              <w:left w:val="single" w:color="auto" w:sz="4" w:space="0"/>
              <w:bottom w:val="single" w:color="auto" w:sz="4" w:space="0"/>
              <w:right w:val="single" w:color="auto" w:sz="4" w:space="0"/>
            </w:tcBorders>
            <w:shd w:val="clear" w:color="auto" w:fill="D8D8D8"/>
            <w:vAlign w:val="center"/>
          </w:tcPr>
          <w:p w14:paraId="6EFA64CC">
            <w:pPr>
              <w:adjustRightInd w:val="0"/>
              <w:snapToGrid w:val="0"/>
              <w:spacing w:before="100" w:beforeAutospacing="1" w:after="100" w:afterAutospacing="1" w:line="240" w:lineRule="exact"/>
              <w:jc w:val="center"/>
              <w:rPr>
                <w:rFonts w:hint="eastAsia" w:ascii="宋体" w:hAnsi="宋体" w:eastAsia="宋体" w:cs="宋体"/>
                <w:bCs/>
                <w:sz w:val="24"/>
                <w:szCs w:val="24"/>
                <w:lang w:eastAsia="zh-CN"/>
              </w:rPr>
            </w:pPr>
            <w:r>
              <w:rPr>
                <w:rFonts w:hint="eastAsia" w:ascii="宋体" w:hAnsi="宋体" w:eastAsia="宋体" w:cs="宋体"/>
                <w:bCs/>
                <w:sz w:val="24"/>
                <w:szCs w:val="24"/>
                <w:lang w:eastAsia="zh-CN"/>
              </w:rPr>
              <w:t>检验方法</w:t>
            </w:r>
          </w:p>
        </w:tc>
      </w:tr>
      <w:tr w14:paraId="40B84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20" w:type="dxa"/>
            <w:tcBorders>
              <w:top w:val="single" w:color="auto" w:sz="4" w:space="0"/>
              <w:left w:val="single" w:color="auto" w:sz="4" w:space="0"/>
              <w:bottom w:val="single" w:color="auto" w:sz="4" w:space="0"/>
              <w:right w:val="single" w:color="auto" w:sz="4" w:space="0"/>
            </w:tcBorders>
            <w:vAlign w:val="center"/>
          </w:tcPr>
          <w:p w14:paraId="1F42F339">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2196" w:type="dxa"/>
            <w:tcBorders>
              <w:top w:val="single" w:color="auto" w:sz="4" w:space="0"/>
              <w:left w:val="single" w:color="auto" w:sz="4" w:space="0"/>
              <w:bottom w:val="single" w:color="auto" w:sz="4" w:space="0"/>
              <w:right w:val="single" w:color="auto" w:sz="4" w:space="0"/>
            </w:tcBorders>
            <w:vAlign w:val="center"/>
          </w:tcPr>
          <w:p w14:paraId="5498F2CD">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氢气纯度</w:t>
            </w:r>
          </w:p>
        </w:tc>
        <w:tc>
          <w:tcPr>
            <w:tcW w:w="4729" w:type="dxa"/>
            <w:vMerge w:val="restart"/>
            <w:tcBorders>
              <w:top w:val="single" w:color="auto" w:sz="4" w:space="0"/>
              <w:left w:val="single" w:color="auto" w:sz="4" w:space="0"/>
              <w:right w:val="single" w:color="auto" w:sz="4" w:space="0"/>
            </w:tcBorders>
            <w:vAlign w:val="center"/>
          </w:tcPr>
          <w:p w14:paraId="57FD6BED">
            <w:pPr>
              <w:spacing w:line="320" w:lineRule="exact"/>
              <w:jc w:val="center"/>
              <w:rPr>
                <w:rFonts w:hint="eastAsia" w:ascii="宋体" w:hAnsi="宋体" w:eastAsia="宋体" w:cs="宋体"/>
                <w:spacing w:val="-6"/>
                <w:sz w:val="24"/>
                <w:szCs w:val="24"/>
              </w:rPr>
            </w:pPr>
            <w:bookmarkStart w:id="0" w:name="OLE_LINK1"/>
            <w:r>
              <w:rPr>
                <w:rFonts w:hint="eastAsia" w:ascii="宋体" w:hAnsi="宋体" w:eastAsia="宋体" w:cs="宋体"/>
                <w:spacing w:val="-6"/>
                <w:sz w:val="24"/>
                <w:szCs w:val="24"/>
              </w:rPr>
              <w:t>GB/T 3634.2</w:t>
            </w:r>
            <w:bookmarkEnd w:id="0"/>
            <w:r>
              <w:rPr>
                <w:rFonts w:hint="eastAsia" w:ascii="宋体" w:hAnsi="宋体" w:eastAsia="宋体" w:cs="宋体"/>
                <w:spacing w:val="-6"/>
                <w:sz w:val="24"/>
                <w:szCs w:val="24"/>
              </w:rPr>
              <w:t>-2011</w:t>
            </w:r>
          </w:p>
          <w:p w14:paraId="67001B66">
            <w:pPr>
              <w:spacing w:line="320" w:lineRule="exact"/>
              <w:jc w:val="center"/>
              <w:rPr>
                <w:rFonts w:hint="default" w:ascii="宋体" w:hAnsi="宋体" w:eastAsia="宋体" w:cs="宋体"/>
                <w:spacing w:val="-6"/>
                <w:sz w:val="24"/>
                <w:szCs w:val="24"/>
                <w:lang w:val="en-US" w:eastAsia="zh-CN"/>
              </w:rPr>
            </w:pPr>
            <w:r>
              <w:rPr>
                <w:rFonts w:hint="eastAsia" w:ascii="宋体" w:hAnsi="宋体" w:eastAsia="宋体" w:cs="宋体"/>
                <w:spacing w:val="-6"/>
                <w:sz w:val="24"/>
                <w:szCs w:val="24"/>
              </w:rPr>
              <w:t>GB/T 3634.2-20</w:t>
            </w:r>
            <w:r>
              <w:rPr>
                <w:rFonts w:hint="eastAsia" w:ascii="宋体" w:hAnsi="宋体" w:eastAsia="宋体" w:cs="宋体"/>
                <w:spacing w:val="-6"/>
                <w:sz w:val="24"/>
                <w:szCs w:val="24"/>
                <w:lang w:val="en-US" w:eastAsia="zh-CN"/>
              </w:rPr>
              <w:t>25</w:t>
            </w:r>
          </w:p>
          <w:p w14:paraId="6E579FD5">
            <w:pPr>
              <w:spacing w:line="320" w:lineRule="exact"/>
              <w:jc w:val="center"/>
              <w:rPr>
                <w:rFonts w:hint="eastAsia" w:ascii="宋体" w:hAnsi="宋体" w:eastAsia="宋体" w:cs="宋体"/>
                <w:spacing w:val="-6"/>
                <w:sz w:val="24"/>
                <w:szCs w:val="24"/>
              </w:rPr>
            </w:pPr>
          </w:p>
        </w:tc>
      </w:tr>
      <w:tr w14:paraId="201B9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20" w:type="dxa"/>
            <w:tcBorders>
              <w:top w:val="single" w:color="auto" w:sz="4" w:space="0"/>
              <w:left w:val="single" w:color="auto" w:sz="4" w:space="0"/>
              <w:bottom w:val="single" w:color="auto" w:sz="4" w:space="0"/>
              <w:right w:val="single" w:color="auto" w:sz="4" w:space="0"/>
            </w:tcBorders>
            <w:vAlign w:val="center"/>
          </w:tcPr>
          <w:p w14:paraId="5AEB9E00">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2196" w:type="dxa"/>
            <w:tcBorders>
              <w:top w:val="single" w:color="auto" w:sz="4" w:space="0"/>
              <w:left w:val="single" w:color="auto" w:sz="4" w:space="0"/>
              <w:bottom w:val="single" w:color="auto" w:sz="4" w:space="0"/>
              <w:right w:val="single" w:color="auto" w:sz="4" w:space="0"/>
            </w:tcBorders>
            <w:vAlign w:val="center"/>
          </w:tcPr>
          <w:p w14:paraId="4F281DCD">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氧含量</w:t>
            </w:r>
          </w:p>
        </w:tc>
        <w:tc>
          <w:tcPr>
            <w:tcW w:w="4729" w:type="dxa"/>
            <w:vMerge w:val="continue"/>
            <w:tcBorders>
              <w:left w:val="single" w:color="auto" w:sz="4" w:space="0"/>
              <w:right w:val="single" w:color="auto" w:sz="4" w:space="0"/>
            </w:tcBorders>
            <w:vAlign w:val="center"/>
          </w:tcPr>
          <w:p w14:paraId="52D38666">
            <w:pPr>
              <w:spacing w:line="320" w:lineRule="exact"/>
              <w:jc w:val="center"/>
              <w:rPr>
                <w:rFonts w:hint="eastAsia" w:ascii="宋体" w:hAnsi="宋体" w:eastAsia="宋体" w:cs="宋体"/>
                <w:spacing w:val="-6"/>
                <w:sz w:val="24"/>
                <w:szCs w:val="24"/>
              </w:rPr>
            </w:pPr>
          </w:p>
        </w:tc>
      </w:tr>
      <w:tr w14:paraId="739D1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20" w:type="dxa"/>
            <w:tcBorders>
              <w:top w:val="single" w:color="auto" w:sz="4" w:space="0"/>
              <w:left w:val="single" w:color="auto" w:sz="4" w:space="0"/>
              <w:bottom w:val="single" w:color="auto" w:sz="4" w:space="0"/>
              <w:right w:val="single" w:color="auto" w:sz="4" w:space="0"/>
            </w:tcBorders>
            <w:vAlign w:val="center"/>
          </w:tcPr>
          <w:p w14:paraId="6250454F">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2196" w:type="dxa"/>
            <w:tcBorders>
              <w:top w:val="single" w:color="auto" w:sz="4" w:space="0"/>
              <w:left w:val="single" w:color="auto" w:sz="4" w:space="0"/>
              <w:bottom w:val="single" w:color="auto" w:sz="4" w:space="0"/>
              <w:right w:val="single" w:color="auto" w:sz="4" w:space="0"/>
            </w:tcBorders>
            <w:vAlign w:val="center"/>
          </w:tcPr>
          <w:p w14:paraId="26979052">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氩含量</w:t>
            </w:r>
          </w:p>
        </w:tc>
        <w:tc>
          <w:tcPr>
            <w:tcW w:w="4729" w:type="dxa"/>
            <w:vMerge w:val="continue"/>
            <w:tcBorders>
              <w:left w:val="single" w:color="auto" w:sz="4" w:space="0"/>
              <w:right w:val="single" w:color="auto" w:sz="4" w:space="0"/>
            </w:tcBorders>
            <w:vAlign w:val="center"/>
          </w:tcPr>
          <w:p w14:paraId="3F9A425E">
            <w:pPr>
              <w:spacing w:line="320" w:lineRule="exact"/>
              <w:jc w:val="center"/>
              <w:rPr>
                <w:rFonts w:hint="eastAsia" w:ascii="宋体" w:hAnsi="宋体" w:eastAsia="宋体" w:cs="宋体"/>
                <w:spacing w:val="-6"/>
                <w:sz w:val="24"/>
                <w:szCs w:val="24"/>
              </w:rPr>
            </w:pPr>
          </w:p>
        </w:tc>
      </w:tr>
      <w:tr w14:paraId="5F4EF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20" w:type="dxa"/>
            <w:tcBorders>
              <w:top w:val="single" w:color="auto" w:sz="4" w:space="0"/>
              <w:left w:val="single" w:color="auto" w:sz="4" w:space="0"/>
              <w:bottom w:val="single" w:color="auto" w:sz="4" w:space="0"/>
              <w:right w:val="single" w:color="auto" w:sz="4" w:space="0"/>
            </w:tcBorders>
            <w:vAlign w:val="center"/>
          </w:tcPr>
          <w:p w14:paraId="1D704D16">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2196" w:type="dxa"/>
            <w:tcBorders>
              <w:top w:val="single" w:color="auto" w:sz="4" w:space="0"/>
              <w:left w:val="single" w:color="auto" w:sz="4" w:space="0"/>
              <w:bottom w:val="single" w:color="auto" w:sz="4" w:space="0"/>
              <w:right w:val="single" w:color="auto" w:sz="4" w:space="0"/>
            </w:tcBorders>
            <w:vAlign w:val="center"/>
          </w:tcPr>
          <w:p w14:paraId="3ACAFF21">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氮含量</w:t>
            </w:r>
          </w:p>
        </w:tc>
        <w:tc>
          <w:tcPr>
            <w:tcW w:w="4729" w:type="dxa"/>
            <w:vMerge w:val="continue"/>
            <w:tcBorders>
              <w:left w:val="single" w:color="auto" w:sz="4" w:space="0"/>
              <w:right w:val="single" w:color="auto" w:sz="4" w:space="0"/>
            </w:tcBorders>
            <w:vAlign w:val="center"/>
          </w:tcPr>
          <w:p w14:paraId="056286DF">
            <w:pPr>
              <w:spacing w:line="320" w:lineRule="exact"/>
              <w:jc w:val="center"/>
              <w:rPr>
                <w:rFonts w:hint="eastAsia" w:ascii="宋体" w:hAnsi="宋体" w:eastAsia="宋体" w:cs="宋体"/>
                <w:spacing w:val="-6"/>
                <w:sz w:val="24"/>
                <w:szCs w:val="24"/>
              </w:rPr>
            </w:pPr>
          </w:p>
        </w:tc>
      </w:tr>
      <w:tr w14:paraId="36C83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20" w:type="dxa"/>
            <w:tcBorders>
              <w:top w:val="single" w:color="auto" w:sz="4" w:space="0"/>
              <w:left w:val="single" w:color="auto" w:sz="4" w:space="0"/>
              <w:bottom w:val="single" w:color="auto" w:sz="4" w:space="0"/>
              <w:right w:val="single" w:color="auto" w:sz="4" w:space="0"/>
            </w:tcBorders>
            <w:vAlign w:val="center"/>
          </w:tcPr>
          <w:p w14:paraId="5FD6294D">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2196" w:type="dxa"/>
            <w:tcBorders>
              <w:top w:val="single" w:color="auto" w:sz="4" w:space="0"/>
              <w:left w:val="single" w:color="auto" w:sz="4" w:space="0"/>
              <w:bottom w:val="single" w:color="auto" w:sz="4" w:space="0"/>
              <w:right w:val="single" w:color="auto" w:sz="4" w:space="0"/>
            </w:tcBorders>
            <w:vAlign w:val="center"/>
          </w:tcPr>
          <w:p w14:paraId="41CFB31A">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一氧化碳含量</w:t>
            </w:r>
          </w:p>
        </w:tc>
        <w:tc>
          <w:tcPr>
            <w:tcW w:w="4729" w:type="dxa"/>
            <w:vMerge w:val="continue"/>
            <w:tcBorders>
              <w:left w:val="single" w:color="auto" w:sz="4" w:space="0"/>
              <w:right w:val="single" w:color="auto" w:sz="4" w:space="0"/>
            </w:tcBorders>
            <w:vAlign w:val="center"/>
          </w:tcPr>
          <w:p w14:paraId="200BA2B1">
            <w:pPr>
              <w:spacing w:line="320" w:lineRule="exact"/>
              <w:jc w:val="center"/>
              <w:rPr>
                <w:rFonts w:hint="eastAsia" w:ascii="宋体" w:hAnsi="宋体" w:eastAsia="宋体" w:cs="宋体"/>
                <w:spacing w:val="-6"/>
                <w:sz w:val="24"/>
                <w:szCs w:val="24"/>
              </w:rPr>
            </w:pPr>
          </w:p>
        </w:tc>
      </w:tr>
      <w:tr w14:paraId="4D62B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20" w:type="dxa"/>
            <w:tcBorders>
              <w:top w:val="single" w:color="auto" w:sz="4" w:space="0"/>
              <w:left w:val="single" w:color="auto" w:sz="4" w:space="0"/>
              <w:bottom w:val="single" w:color="auto" w:sz="4" w:space="0"/>
              <w:right w:val="single" w:color="auto" w:sz="4" w:space="0"/>
            </w:tcBorders>
            <w:vAlign w:val="center"/>
          </w:tcPr>
          <w:p w14:paraId="624D0E1D">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2196" w:type="dxa"/>
            <w:tcBorders>
              <w:top w:val="single" w:color="auto" w:sz="4" w:space="0"/>
              <w:left w:val="single" w:color="auto" w:sz="4" w:space="0"/>
              <w:bottom w:val="single" w:color="auto" w:sz="4" w:space="0"/>
              <w:right w:val="single" w:color="auto" w:sz="4" w:space="0"/>
            </w:tcBorders>
            <w:vAlign w:val="center"/>
          </w:tcPr>
          <w:p w14:paraId="55C1ACC0">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二氧化碳含量</w:t>
            </w:r>
          </w:p>
        </w:tc>
        <w:tc>
          <w:tcPr>
            <w:tcW w:w="4729" w:type="dxa"/>
            <w:vMerge w:val="continue"/>
            <w:tcBorders>
              <w:left w:val="single" w:color="auto" w:sz="4" w:space="0"/>
              <w:right w:val="single" w:color="auto" w:sz="4" w:space="0"/>
            </w:tcBorders>
            <w:vAlign w:val="center"/>
          </w:tcPr>
          <w:p w14:paraId="18BFE564">
            <w:pPr>
              <w:spacing w:line="320" w:lineRule="exact"/>
              <w:jc w:val="center"/>
              <w:rPr>
                <w:rFonts w:hint="eastAsia" w:ascii="宋体" w:hAnsi="宋体" w:eastAsia="宋体" w:cs="宋体"/>
                <w:spacing w:val="-6"/>
                <w:sz w:val="24"/>
                <w:szCs w:val="24"/>
              </w:rPr>
            </w:pPr>
          </w:p>
        </w:tc>
      </w:tr>
      <w:tr w14:paraId="2BBB4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20" w:type="dxa"/>
            <w:tcBorders>
              <w:top w:val="single" w:color="auto" w:sz="4" w:space="0"/>
              <w:left w:val="single" w:color="auto" w:sz="4" w:space="0"/>
              <w:bottom w:val="single" w:color="auto" w:sz="4" w:space="0"/>
              <w:right w:val="single" w:color="auto" w:sz="4" w:space="0"/>
            </w:tcBorders>
            <w:vAlign w:val="center"/>
          </w:tcPr>
          <w:p w14:paraId="113CB971">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2196" w:type="dxa"/>
            <w:tcBorders>
              <w:top w:val="single" w:color="auto" w:sz="4" w:space="0"/>
              <w:left w:val="single" w:color="auto" w:sz="4" w:space="0"/>
              <w:bottom w:val="single" w:color="auto" w:sz="4" w:space="0"/>
              <w:right w:val="single" w:color="auto" w:sz="4" w:space="0"/>
            </w:tcBorders>
            <w:vAlign w:val="center"/>
          </w:tcPr>
          <w:p w14:paraId="2CB797E9">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甲烷含量</w:t>
            </w:r>
          </w:p>
        </w:tc>
        <w:tc>
          <w:tcPr>
            <w:tcW w:w="4729" w:type="dxa"/>
            <w:vMerge w:val="continue"/>
            <w:tcBorders>
              <w:left w:val="single" w:color="auto" w:sz="4" w:space="0"/>
              <w:right w:val="single" w:color="auto" w:sz="4" w:space="0"/>
            </w:tcBorders>
            <w:vAlign w:val="center"/>
          </w:tcPr>
          <w:p w14:paraId="475B830F">
            <w:pPr>
              <w:spacing w:line="320" w:lineRule="exact"/>
              <w:jc w:val="center"/>
              <w:rPr>
                <w:rFonts w:hint="eastAsia" w:ascii="宋体" w:hAnsi="宋体" w:eastAsia="宋体" w:cs="宋体"/>
                <w:spacing w:val="-6"/>
                <w:sz w:val="24"/>
                <w:szCs w:val="24"/>
              </w:rPr>
            </w:pPr>
          </w:p>
        </w:tc>
      </w:tr>
      <w:tr w14:paraId="2980E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20" w:type="dxa"/>
            <w:tcBorders>
              <w:top w:val="single" w:color="auto" w:sz="4" w:space="0"/>
              <w:left w:val="single" w:color="auto" w:sz="4" w:space="0"/>
              <w:bottom w:val="single" w:color="auto" w:sz="4" w:space="0"/>
              <w:right w:val="single" w:color="auto" w:sz="4" w:space="0"/>
            </w:tcBorders>
            <w:vAlign w:val="center"/>
          </w:tcPr>
          <w:p w14:paraId="59FC6E9A">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p>
        </w:tc>
        <w:tc>
          <w:tcPr>
            <w:tcW w:w="2196" w:type="dxa"/>
            <w:tcBorders>
              <w:top w:val="single" w:color="auto" w:sz="4" w:space="0"/>
              <w:left w:val="single" w:color="auto" w:sz="4" w:space="0"/>
              <w:bottom w:val="single" w:color="auto" w:sz="4" w:space="0"/>
              <w:right w:val="single" w:color="auto" w:sz="4" w:space="0"/>
            </w:tcBorders>
            <w:vAlign w:val="center"/>
          </w:tcPr>
          <w:p w14:paraId="5F75FFE1">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水分含量</w:t>
            </w:r>
          </w:p>
        </w:tc>
        <w:tc>
          <w:tcPr>
            <w:tcW w:w="4729" w:type="dxa"/>
            <w:vMerge w:val="continue"/>
            <w:tcBorders>
              <w:left w:val="single" w:color="auto" w:sz="4" w:space="0"/>
              <w:right w:val="single" w:color="auto" w:sz="4" w:space="0"/>
            </w:tcBorders>
            <w:vAlign w:val="center"/>
          </w:tcPr>
          <w:p w14:paraId="0FCACC0E">
            <w:pPr>
              <w:spacing w:line="320" w:lineRule="exact"/>
              <w:jc w:val="center"/>
              <w:rPr>
                <w:rFonts w:hint="eastAsia" w:ascii="宋体" w:hAnsi="宋体" w:eastAsia="宋体" w:cs="宋体"/>
                <w:spacing w:val="-6"/>
                <w:sz w:val="24"/>
                <w:szCs w:val="24"/>
              </w:rPr>
            </w:pPr>
          </w:p>
        </w:tc>
      </w:tr>
      <w:tr w14:paraId="2CA60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20" w:type="dxa"/>
            <w:tcBorders>
              <w:top w:val="single" w:color="auto" w:sz="4" w:space="0"/>
              <w:left w:val="single" w:color="auto" w:sz="4" w:space="0"/>
              <w:bottom w:val="single" w:color="auto" w:sz="4" w:space="0"/>
              <w:right w:val="single" w:color="auto" w:sz="4" w:space="0"/>
            </w:tcBorders>
            <w:vAlign w:val="center"/>
          </w:tcPr>
          <w:p w14:paraId="4132B6D2">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w:t>
            </w:r>
          </w:p>
        </w:tc>
        <w:tc>
          <w:tcPr>
            <w:tcW w:w="2196" w:type="dxa"/>
            <w:tcBorders>
              <w:top w:val="single" w:color="auto" w:sz="4" w:space="0"/>
              <w:left w:val="single" w:color="auto" w:sz="4" w:space="0"/>
              <w:bottom w:val="single" w:color="auto" w:sz="4" w:space="0"/>
              <w:right w:val="single" w:color="auto" w:sz="4" w:space="0"/>
            </w:tcBorders>
            <w:vAlign w:val="center"/>
          </w:tcPr>
          <w:p w14:paraId="6A5D52C2">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杂质总含量（纯氢不做该项目）</w:t>
            </w:r>
          </w:p>
        </w:tc>
        <w:tc>
          <w:tcPr>
            <w:tcW w:w="4729" w:type="dxa"/>
            <w:vMerge w:val="continue"/>
            <w:tcBorders>
              <w:left w:val="single" w:color="auto" w:sz="4" w:space="0"/>
              <w:bottom w:val="single" w:color="auto" w:sz="4" w:space="0"/>
              <w:right w:val="single" w:color="auto" w:sz="4" w:space="0"/>
            </w:tcBorders>
            <w:vAlign w:val="center"/>
          </w:tcPr>
          <w:p w14:paraId="7092A384">
            <w:pPr>
              <w:spacing w:line="320" w:lineRule="exact"/>
              <w:jc w:val="center"/>
              <w:rPr>
                <w:rFonts w:hint="eastAsia" w:ascii="宋体" w:hAnsi="宋体" w:eastAsia="宋体" w:cs="宋体"/>
                <w:spacing w:val="-6"/>
                <w:sz w:val="24"/>
                <w:szCs w:val="24"/>
              </w:rPr>
            </w:pPr>
          </w:p>
        </w:tc>
      </w:tr>
    </w:tbl>
    <w:p w14:paraId="59933752">
      <w:pPr>
        <w:widowControl/>
        <w:spacing w:line="600" w:lineRule="exact"/>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执行企业标准、团体标准、地方标准的产品，检验项目参照上述内容执行。</w:t>
      </w:r>
    </w:p>
    <w:p w14:paraId="2C49EE79">
      <w:pPr>
        <w:widowControl/>
        <w:spacing w:line="600" w:lineRule="exact"/>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凡是注</w:t>
      </w:r>
      <w:r>
        <w:rPr>
          <w:rFonts w:hint="eastAsia" w:ascii="仿宋_GB2312" w:hAnsi="仿宋_GB2312" w:cs="仿宋_GB2312"/>
          <w:kern w:val="0"/>
          <w:sz w:val="32"/>
          <w:szCs w:val="32"/>
          <w:lang w:eastAsia="zh-CN"/>
        </w:rPr>
        <w:t>明</w:t>
      </w:r>
      <w:r>
        <w:rPr>
          <w:rFonts w:hint="eastAsia" w:ascii="仿宋_GB2312" w:hAnsi="仿宋_GB2312" w:eastAsia="仿宋_GB2312" w:cs="仿宋_GB2312"/>
          <w:kern w:val="0"/>
          <w:sz w:val="32"/>
          <w:szCs w:val="32"/>
          <w:lang w:eastAsia="zh-CN"/>
        </w:rPr>
        <w:t>日期的文件，其随后所有的修改单（不包括勘误的内容）或修订版不适用于本细则。凡是不注</w:t>
      </w:r>
      <w:r>
        <w:rPr>
          <w:rFonts w:hint="eastAsia" w:ascii="仿宋_GB2312" w:hAnsi="仿宋_GB2312" w:cs="仿宋_GB2312"/>
          <w:kern w:val="0"/>
          <w:sz w:val="32"/>
          <w:szCs w:val="32"/>
          <w:lang w:eastAsia="zh-CN"/>
        </w:rPr>
        <w:t>明</w:t>
      </w:r>
      <w:r>
        <w:rPr>
          <w:rFonts w:hint="eastAsia" w:ascii="仿宋_GB2312" w:hAnsi="仿宋_GB2312" w:eastAsia="仿宋_GB2312" w:cs="仿宋_GB2312"/>
          <w:kern w:val="0"/>
          <w:sz w:val="32"/>
          <w:szCs w:val="32"/>
          <w:lang w:eastAsia="zh-CN"/>
        </w:rPr>
        <w:t>日期的文件，其最新版本适用于本细则。</w:t>
      </w:r>
    </w:p>
    <w:p w14:paraId="43891E11">
      <w:pPr>
        <w:widowControl/>
        <w:spacing w:line="600" w:lineRule="exact"/>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三、</w:t>
      </w:r>
      <w:r>
        <w:rPr>
          <w:rFonts w:hint="eastAsia" w:ascii="仿宋_GB2312" w:hAnsi="仿宋_GB2312" w:eastAsia="仿宋_GB2312" w:cs="仿宋_GB2312"/>
          <w:kern w:val="0"/>
          <w:sz w:val="32"/>
          <w:szCs w:val="32"/>
          <w:lang w:eastAsia="zh-CN"/>
        </w:rPr>
        <w:t>判定规则</w:t>
      </w:r>
    </w:p>
    <w:p w14:paraId="65A544F4">
      <w:pPr>
        <w:widowControl/>
        <w:spacing w:line="600" w:lineRule="exact"/>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1</w:t>
      </w:r>
      <w:r>
        <w:rPr>
          <w:rFonts w:hint="eastAsia" w:ascii="仿宋_GB2312" w:hAnsi="仿宋_GB2312" w:cs="仿宋_GB2312"/>
          <w:kern w:val="0"/>
          <w:sz w:val="32"/>
          <w:szCs w:val="32"/>
          <w:lang w:val="en-US" w:eastAsia="zh-CN"/>
        </w:rPr>
        <w:t>.</w:t>
      </w:r>
      <w:r>
        <w:rPr>
          <w:rFonts w:hint="eastAsia" w:ascii="仿宋_GB2312" w:hAnsi="仿宋_GB2312" w:eastAsia="仿宋_GB2312" w:cs="仿宋_GB2312"/>
          <w:kern w:val="0"/>
          <w:sz w:val="32"/>
          <w:szCs w:val="32"/>
          <w:lang w:eastAsia="zh-CN"/>
        </w:rPr>
        <w:t>依据标准</w:t>
      </w:r>
    </w:p>
    <w:p w14:paraId="67C96F9F">
      <w:pPr>
        <w:widowControl/>
        <w:spacing w:line="60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GB 6819－2004《溶解乙炔》</w:t>
      </w:r>
    </w:p>
    <w:p w14:paraId="3256346F">
      <w:pPr>
        <w:widowControl/>
        <w:spacing w:line="60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GB/T 3634.2－2011《氢气 第2部分：纯氢、高纯氢</w:t>
      </w:r>
      <w:r>
        <w:rPr>
          <w:rFonts w:hint="eastAsia" w:ascii="仿宋_GB2312" w:hAnsi="仿宋_GB2312" w:cs="仿宋_GB2312"/>
          <w:kern w:val="0"/>
          <w:sz w:val="32"/>
          <w:szCs w:val="32"/>
          <w:lang w:val="en-US" w:eastAsia="zh-CN"/>
        </w:rPr>
        <w:t>和</w:t>
      </w:r>
      <w:r>
        <w:rPr>
          <w:rFonts w:hint="eastAsia" w:ascii="仿宋_GB2312" w:hAnsi="仿宋_GB2312" w:eastAsia="仿宋_GB2312" w:cs="仿宋_GB2312"/>
          <w:kern w:val="0"/>
          <w:sz w:val="32"/>
          <w:szCs w:val="32"/>
          <w:lang w:val="en-US" w:eastAsia="zh-CN"/>
        </w:rPr>
        <w:t>超纯氢》</w:t>
      </w:r>
    </w:p>
    <w:p w14:paraId="5F2DB7B0">
      <w:pPr>
        <w:pStyle w:val="2"/>
        <w:jc w:val="left"/>
        <w:rPr>
          <w:rFonts w:hint="eastAsia"/>
          <w:lang w:val="en-US" w:eastAsia="zh-CN"/>
        </w:rPr>
      </w:pPr>
      <w:r>
        <w:rPr>
          <w:rFonts w:hint="eastAsia" w:ascii="仿宋_GB2312" w:hAnsi="仿宋_GB2312" w:eastAsia="仿宋_GB2312" w:cs="仿宋_GB2312"/>
          <w:kern w:val="0"/>
          <w:sz w:val="32"/>
          <w:szCs w:val="32"/>
          <w:lang w:val="en-US" w:eastAsia="zh-CN"/>
        </w:rPr>
        <w:t xml:space="preserve">    GB/T 3634.2－2025《氢气 第2部分：纯氢、高纯氢和超纯氢》</w:t>
      </w:r>
    </w:p>
    <w:p w14:paraId="66B466AF">
      <w:pPr>
        <w:widowControl/>
        <w:spacing w:line="60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现行有效的企业标准、团体标准、地方标准及产品明示质量要求。</w:t>
      </w:r>
    </w:p>
    <w:p w14:paraId="671FCA1D">
      <w:pPr>
        <w:widowControl/>
        <w:spacing w:line="60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w:t>
      </w:r>
      <w:r>
        <w:rPr>
          <w:rFonts w:hint="eastAsia" w:ascii="仿宋_GB2312" w:hAnsi="仿宋_GB2312" w:cs="仿宋_GB2312"/>
          <w:kern w:val="0"/>
          <w:sz w:val="32"/>
          <w:szCs w:val="32"/>
          <w:lang w:val="en-US" w:eastAsia="zh-CN"/>
        </w:rPr>
        <w:t>.</w:t>
      </w:r>
      <w:r>
        <w:rPr>
          <w:rFonts w:hint="eastAsia" w:ascii="仿宋_GB2312" w:hAnsi="仿宋_GB2312" w:eastAsia="仿宋_GB2312" w:cs="仿宋_GB2312"/>
          <w:kern w:val="0"/>
          <w:sz w:val="32"/>
          <w:szCs w:val="32"/>
          <w:lang w:val="en-US" w:eastAsia="zh-CN"/>
        </w:rPr>
        <w:t>判定原则</w:t>
      </w:r>
    </w:p>
    <w:p w14:paraId="298FE8E1">
      <w:pPr>
        <w:widowControl/>
        <w:spacing w:line="600" w:lineRule="exact"/>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经检验，检验项目全部合格，判定为被抽查产品所检项目未发现不合格；检验项目中任一项或一项以上不合格，判定为被抽查产品不合格。</w:t>
      </w:r>
    </w:p>
    <w:p w14:paraId="0BA818AC">
      <w:pPr>
        <w:widowControl/>
        <w:spacing w:line="600" w:lineRule="exact"/>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若被检产品明示的质量要求高于本细则中检验项目依据的标准要求时，应按被检产品明示的质量要求判定。</w:t>
      </w:r>
    </w:p>
    <w:p w14:paraId="04FEC14F">
      <w:pPr>
        <w:widowControl/>
        <w:spacing w:line="600" w:lineRule="exact"/>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若被检产品明示的质量要求低于本细则中检验项目依据的强制性标准要求时，应按照强制性标准要求判定。</w:t>
      </w:r>
    </w:p>
    <w:p w14:paraId="3F15273F">
      <w:pPr>
        <w:widowControl/>
        <w:spacing w:line="600" w:lineRule="exact"/>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若被检产品明示的质量要求低于或包含本细则中检验项目依据的推荐性标准要求时，应以被检产品明示的质量要求判定。</w:t>
      </w:r>
    </w:p>
    <w:p w14:paraId="515CE30B">
      <w:pPr>
        <w:widowControl/>
        <w:spacing w:line="600" w:lineRule="exact"/>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若被检产品明示的质量要求缺少本细则中检验项目依据的强制性标准要求时，应按照强制性标准要求判定。</w:t>
      </w:r>
    </w:p>
    <w:p w14:paraId="242AADBF">
      <w:pPr>
        <w:widowControl/>
        <w:spacing w:line="600" w:lineRule="exact"/>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若被检产品明示的质量要求缺少本细则中检验项目依据的推荐性标准要求时，该项目不参与判定。</w:t>
      </w:r>
    </w:p>
    <w:p w14:paraId="1DCF1835">
      <w:pPr>
        <w:spacing w:line="590" w:lineRule="exact"/>
        <w:ind w:firstLine="480" w:firstLineChars="200"/>
        <w:rPr>
          <w:rFonts w:hint="eastAsia" w:ascii="宋体" w:hAnsi="宋体" w:eastAsia="宋体" w:cs="宋体"/>
          <w:kern w:val="0"/>
          <w:sz w:val="24"/>
          <w:szCs w:val="24"/>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21F9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9B7B01">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39B7B01">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CF5666"/>
    <w:multiLevelType w:val="multilevel"/>
    <w:tmpl w:val="1DCF5666"/>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VhNjU4MDcyMDVmMTlhMTNkN2UzOGFjZWNiZjIwYWQifQ=="/>
  </w:docVars>
  <w:rsids>
    <w:rsidRoot w:val="00FA122C"/>
    <w:rsid w:val="00092474"/>
    <w:rsid w:val="00381DA8"/>
    <w:rsid w:val="003B6A09"/>
    <w:rsid w:val="004017B7"/>
    <w:rsid w:val="00677471"/>
    <w:rsid w:val="00A11EB0"/>
    <w:rsid w:val="00CC2AE2"/>
    <w:rsid w:val="00DC1206"/>
    <w:rsid w:val="00DF64CE"/>
    <w:rsid w:val="00EA3AF9"/>
    <w:rsid w:val="00FA122C"/>
    <w:rsid w:val="01537940"/>
    <w:rsid w:val="021358C1"/>
    <w:rsid w:val="08731931"/>
    <w:rsid w:val="13994FB7"/>
    <w:rsid w:val="1BC74B8B"/>
    <w:rsid w:val="26540AA3"/>
    <w:rsid w:val="298E2EC0"/>
    <w:rsid w:val="29EA71E1"/>
    <w:rsid w:val="2AE7594E"/>
    <w:rsid w:val="3C315A4B"/>
    <w:rsid w:val="46B303F3"/>
    <w:rsid w:val="4B587613"/>
    <w:rsid w:val="4BAE75A6"/>
    <w:rsid w:val="501F79D5"/>
    <w:rsid w:val="562F2BA3"/>
    <w:rsid w:val="5651609F"/>
    <w:rsid w:val="584C2EFA"/>
    <w:rsid w:val="590233BD"/>
    <w:rsid w:val="5AD01E2F"/>
    <w:rsid w:val="61D0587A"/>
    <w:rsid w:val="62A26CC9"/>
    <w:rsid w:val="67AD5212"/>
    <w:rsid w:val="6A9C0E67"/>
    <w:rsid w:val="74B8777C"/>
    <w:rsid w:val="7BF875E0"/>
    <w:rsid w:val="A7CBFBCD"/>
    <w:rsid w:val="F89F70F7"/>
    <w:rsid w:val="FFBFD49D"/>
    <w:rsid w:val="FFF2C7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qFormat/>
    <w:uiPriority w:val="9"/>
    <w:pPr>
      <w:jc w:val="center"/>
      <w:outlineLvl w:val="0"/>
    </w:pPr>
    <w:rPr>
      <w:rFonts w:ascii="方正小标宋简体" w:eastAsia="方正小标宋简体"/>
      <w:kern w:val="44"/>
      <w:sz w:val="38"/>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7"/>
    <w:qFormat/>
    <w:uiPriority w:val="0"/>
    <w:pPr>
      <w:tabs>
        <w:tab w:val="center" w:pos="4153"/>
        <w:tab w:val="right" w:pos="8306"/>
      </w:tabs>
      <w:snapToGrid w:val="0"/>
      <w:jc w:val="left"/>
    </w:pPr>
    <w:rPr>
      <w:sz w:val="18"/>
    </w:rPr>
  </w:style>
  <w:style w:type="paragraph" w:styleId="4">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脚 Char"/>
    <w:basedOn w:val="6"/>
    <w:link w:val="3"/>
    <w:qFormat/>
    <w:uiPriority w:val="0"/>
    <w:rPr>
      <w:rFonts w:ascii="Times New Roman" w:hAnsi="Times New Roman" w:eastAsia="仿宋_GB2312" w:cs="Times New Roman"/>
      <w:sz w:val="18"/>
      <w:szCs w:val="24"/>
    </w:rPr>
  </w:style>
  <w:style w:type="paragraph" w:customStyle="1" w:styleId="8">
    <w:name w:val="段"/>
    <w:qFormat/>
    <w:uiPriority w:val="0"/>
    <w:pPr>
      <w:tabs>
        <w:tab w:val="center" w:pos="4201"/>
        <w:tab w:val="right" w:leader="dot" w:pos="9298"/>
      </w:tabs>
      <w:autoSpaceDE w:val="0"/>
      <w:autoSpaceDN w:val="0"/>
      <w:ind w:firstLine="420" w:firstLineChars="200"/>
      <w:jc w:val="both"/>
    </w:pPr>
    <w:rPr>
      <w:rFonts w:ascii="宋体" w:hAnsi="Calibri" w:eastAsia="宋体" w:cs="Times New Roman"/>
      <w:kern w:val="2"/>
      <w:sz w:val="21"/>
      <w:szCs w:val="22"/>
      <w:lang w:val="en-US" w:eastAsia="zh-CN" w:bidi="ar-SA"/>
    </w:rPr>
  </w:style>
  <w:style w:type="paragraph" w:customStyle="1" w:styleId="9">
    <w:name w:val="一级条标题"/>
    <w:next w:val="8"/>
    <w:qFormat/>
    <w:uiPriority w:val="0"/>
    <w:pPr>
      <w:spacing w:beforeLines="50" w:afterLines="50"/>
      <w:ind w:left="716"/>
      <w:outlineLvl w:val="2"/>
    </w:pPr>
    <w:rPr>
      <w:rFonts w:ascii="黑体" w:hAnsi="Calibri" w:eastAsia="黑体" w:cs="Times New Roman"/>
      <w:kern w:val="0"/>
      <w:sz w:val="21"/>
      <w:szCs w:val="21"/>
      <w:lang w:val="en-US" w:eastAsia="zh-CN" w:bidi="ar-SA"/>
    </w:rPr>
  </w:style>
  <w:style w:type="paragraph" w:customStyle="1" w:styleId="10">
    <w:name w:val="二级条标题"/>
    <w:basedOn w:val="9"/>
    <w:next w:val="8"/>
    <w:qFormat/>
    <w:uiPriority w:val="0"/>
    <w:pPr>
      <w:spacing w:before="50" w:after="50"/>
      <w:outlineLvl w:val="3"/>
    </w:pPr>
  </w:style>
  <w:style w:type="paragraph" w:customStyle="1" w:styleId="11">
    <w:name w:val="列出段落2"/>
    <w:basedOn w:val="1"/>
    <w:unhideWhenUsed/>
    <w:qFormat/>
    <w:uiPriority w:val="99"/>
    <w:pPr>
      <w:ind w:firstLine="420" w:firstLineChars="200"/>
    </w:pPr>
    <w:rPr>
      <w:sz w:val="30"/>
    </w:rPr>
  </w:style>
  <w:style w:type="paragraph" w:customStyle="1" w:styleId="12">
    <w:name w:val="Table Paragraph"/>
    <w:basedOn w:val="1"/>
    <w:qFormat/>
    <w:uiPriority w:val="0"/>
    <w:pPr>
      <w:jc w:val="left"/>
    </w:pPr>
    <w:rPr>
      <w:rFonts w:ascii="Calibri" w:hAnsi="Calibri"/>
      <w:kern w:val="0"/>
      <w:sz w:val="22"/>
      <w:szCs w:val="22"/>
      <w:lang w:eastAsia="en-US"/>
    </w:rPr>
  </w:style>
  <w:style w:type="character" w:customStyle="1" w:styleId="13">
    <w:name w:val="页眉 Char"/>
    <w:basedOn w:val="6"/>
    <w:link w:val="4"/>
    <w:qFormat/>
    <w:uiPriority w:val="0"/>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382a72-6729-41e8-bb5f-cafa28adafa7}">
  <ds:schemaRefs/>
</ds:datastoreItem>
</file>

<file path=docProps/app.xml><?xml version="1.0" encoding="utf-8"?>
<Properties xmlns="http://schemas.openxmlformats.org/officeDocument/2006/extended-properties" xmlns:vt="http://schemas.openxmlformats.org/officeDocument/2006/docPropsVTypes">
  <Template>Normal</Template>
  <Pages>3</Pages>
  <Words>726</Words>
  <Characters>806</Characters>
  <Lines>23</Lines>
  <Paragraphs>6</Paragraphs>
  <TotalTime>8</TotalTime>
  <ScaleCrop>false</ScaleCrop>
  <LinksUpToDate>false</LinksUpToDate>
  <CharactersWithSpaces>819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2020-07-23T09:55:00Z</dcterms:created>
  <dc:creator>zyw</dc:creator>
  <cp:lastModifiedBy>邓雨文</cp:lastModifiedBy>
  <cp:lastPrinted>2024-04-23T02:45:00Z</cp:lastPrinted>
  <dcterms:modified xsi:type="dcterms:W3CDTF">2026-09-15T02:19:37Z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052301A051154E00BBC629E1827E0C07_13</vt:lpwstr>
  </property>
  <property fmtid="{D5CDD505-2E9C-101B-9397-08002B2CF9AE}" pid="4" name="KSOTemplateDocerSaveRecord">
    <vt:lpwstr>eyJoZGlkIjoiMDE2ZTkyZTQyNTI0ODVjZGU0NDNlNTRkMTEzMmVkODEiLCJ1c2VySWQiOiI2MzY5NzAwMjQifQ==</vt:lpwstr>
  </property>
</Properties>
</file>