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E7A83">
      <w:pPr>
        <w:jc w:val="both"/>
        <w:rPr>
          <w:rFonts w:hint="default" w:ascii="仿宋_GB2312" w:hAnsi="仿宋_GB2312" w:eastAsia="仿宋_GB2312" w:cs="仿宋_GB2312"/>
          <w:b w:val="0"/>
          <w:bCs/>
          <w:spacing w:val="-16"/>
          <w:sz w:val="32"/>
          <w:szCs w:val="32"/>
          <w:lang w:val="en-US" w:eastAsia="zh-CN"/>
        </w:rPr>
      </w:pPr>
      <w:r>
        <w:rPr>
          <w:rFonts w:hint="eastAsia" w:ascii="仿宋_GB2312" w:hAnsi="仿宋_GB2312" w:cs="仿宋_GB2312"/>
          <w:b w:val="0"/>
          <w:bCs/>
          <w:spacing w:val="-16"/>
          <w:sz w:val="32"/>
          <w:szCs w:val="32"/>
          <w:lang w:eastAsia="zh-CN"/>
        </w:rPr>
        <w:t>附件</w:t>
      </w:r>
      <w:r>
        <w:rPr>
          <w:rFonts w:hint="eastAsia" w:ascii="仿宋_GB2312" w:hAnsi="仿宋_GB2312" w:cs="仿宋_GB2312"/>
          <w:b w:val="0"/>
          <w:bCs/>
          <w:spacing w:val="-16"/>
          <w:sz w:val="32"/>
          <w:szCs w:val="32"/>
          <w:lang w:val="en-US" w:eastAsia="zh-CN"/>
        </w:rPr>
        <w:t>8</w:t>
      </w:r>
    </w:p>
    <w:p w14:paraId="74CAB47F">
      <w:pPr>
        <w:jc w:val="center"/>
        <w:rPr>
          <w:rFonts w:hint="eastAsia" w:ascii="方正小标宋简体" w:hAnsi="方正小标宋简体" w:eastAsia="方正小标宋简体" w:cs="方正小标宋简体"/>
          <w:b w:val="0"/>
          <w:bCs/>
          <w:spacing w:val="-16"/>
          <w:sz w:val="44"/>
          <w:szCs w:val="44"/>
        </w:rPr>
      </w:pPr>
      <w:r>
        <w:rPr>
          <w:rFonts w:hint="eastAsia" w:ascii="方正小标宋简体" w:hAnsi="方正小标宋简体" w:eastAsia="方正小标宋简体" w:cs="方正小标宋简体"/>
          <w:b w:val="0"/>
          <w:bCs/>
          <w:spacing w:val="-16"/>
          <w:sz w:val="44"/>
          <w:szCs w:val="44"/>
        </w:rPr>
        <w:t>钢筋产品质量监督</w:t>
      </w:r>
      <w:r>
        <w:rPr>
          <w:rFonts w:hint="eastAsia" w:ascii="方正小标宋简体" w:hAnsi="方正小标宋简体" w:eastAsia="方正小标宋简体" w:cs="方正小标宋简体"/>
          <w:b w:val="0"/>
          <w:bCs/>
          <w:spacing w:val="-16"/>
          <w:sz w:val="44"/>
          <w:szCs w:val="44"/>
          <w:lang w:eastAsia="zh-CN"/>
        </w:rPr>
        <w:t>抽查实施</w:t>
      </w:r>
      <w:r>
        <w:rPr>
          <w:rFonts w:hint="eastAsia" w:ascii="方正小标宋简体" w:hAnsi="方正小标宋简体" w:eastAsia="方正小标宋简体" w:cs="方正小标宋简体"/>
          <w:b w:val="0"/>
          <w:bCs/>
          <w:spacing w:val="-16"/>
          <w:sz w:val="44"/>
          <w:szCs w:val="44"/>
        </w:rPr>
        <w:t>细则</w:t>
      </w:r>
    </w:p>
    <w:p w14:paraId="70C0AFE6">
      <w:pPr>
        <w:jc w:val="center"/>
        <w:rPr>
          <w:rFonts w:hint="eastAsia" w:ascii="方正仿宋_GB2312" w:hAnsi="方正仿宋_GB2312" w:eastAsia="方正仿宋_GB2312" w:cs="方正仿宋_GB2312"/>
          <w:sz w:val="32"/>
          <w:szCs w:val="32"/>
        </w:rPr>
      </w:pPr>
      <w:r>
        <w:rPr>
          <w:rFonts w:hint="eastAsia" w:ascii="方正小标宋简体" w:hAnsi="方正小标宋简体" w:eastAsia="方正小标宋简体" w:cs="方正小标宋简体"/>
          <w:b w:val="0"/>
          <w:bCs/>
          <w:spacing w:val="-16"/>
          <w:sz w:val="44"/>
          <w:szCs w:val="44"/>
          <w:lang w:eastAsia="zh-CN"/>
        </w:rPr>
        <w:t>（</w:t>
      </w:r>
      <w:r>
        <w:rPr>
          <w:rFonts w:hint="eastAsia" w:ascii="方正小标宋简体" w:hAnsi="方正小标宋简体" w:eastAsia="方正小标宋简体" w:cs="方正小标宋简体"/>
          <w:b w:val="0"/>
          <w:bCs/>
          <w:spacing w:val="-16"/>
          <w:sz w:val="44"/>
          <w:szCs w:val="44"/>
          <w:lang w:val="en-US" w:eastAsia="zh-CN"/>
        </w:rPr>
        <w:t>2026版</w:t>
      </w:r>
      <w:r>
        <w:rPr>
          <w:rFonts w:hint="eastAsia" w:ascii="方正小标宋简体" w:hAnsi="方正小标宋简体" w:eastAsia="方正小标宋简体" w:cs="方正小标宋简体"/>
          <w:b w:val="0"/>
          <w:bCs/>
          <w:spacing w:val="-16"/>
          <w:sz w:val="44"/>
          <w:szCs w:val="44"/>
          <w:lang w:eastAsia="zh-CN"/>
        </w:rPr>
        <w:t>）</w:t>
      </w:r>
    </w:p>
    <w:p w14:paraId="2322A073">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一、抽样方法</w:t>
      </w:r>
    </w:p>
    <w:p w14:paraId="5EFA11E5">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以随机抽样的方式在被</w:t>
      </w:r>
      <w:r>
        <w:rPr>
          <w:rFonts w:hint="eastAsia" w:ascii="方正仿宋_GB2312" w:hAnsi="方正仿宋_GB2312" w:eastAsia="方正仿宋_GB2312" w:cs="方正仿宋_GB2312"/>
          <w:sz w:val="32"/>
          <w:szCs w:val="32"/>
          <w:lang w:eastAsia="zh-CN"/>
        </w:rPr>
        <w:t>抽查市场主体</w:t>
      </w:r>
      <w:r>
        <w:rPr>
          <w:rFonts w:hint="eastAsia" w:ascii="方正仿宋_GB2312" w:hAnsi="方正仿宋_GB2312" w:eastAsia="方正仿宋_GB2312" w:cs="方正仿宋_GB2312"/>
          <w:sz w:val="32"/>
          <w:szCs w:val="32"/>
        </w:rPr>
        <w:t>的待销产品中抽取</w:t>
      </w:r>
      <w:r>
        <w:rPr>
          <w:rFonts w:hint="eastAsia" w:ascii="方正仿宋_GB2312" w:hAnsi="方正仿宋_GB2312" w:eastAsia="方正仿宋_GB2312" w:cs="方正仿宋_GB2312"/>
          <w:sz w:val="32"/>
          <w:szCs w:val="32"/>
          <w:lang w:eastAsia="zh-CN"/>
        </w:rPr>
        <w:t>样品</w:t>
      </w:r>
      <w:r>
        <w:rPr>
          <w:rFonts w:hint="eastAsia" w:ascii="方正仿宋_GB2312" w:hAnsi="方正仿宋_GB2312" w:eastAsia="方正仿宋_GB2312" w:cs="方正仿宋_GB2312"/>
          <w:sz w:val="32"/>
          <w:szCs w:val="32"/>
        </w:rPr>
        <w:t>。</w:t>
      </w:r>
    </w:p>
    <w:p w14:paraId="5FC996FB">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随机数一般可使用随机数表等方法产生。</w:t>
      </w:r>
    </w:p>
    <w:p w14:paraId="017024EA">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每款产品抽取2组样本，第1组用于检验，第2组用于备样</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备用样品封存于承检单位。具体抽样数量</w:t>
      </w:r>
      <w:r>
        <w:rPr>
          <w:rFonts w:hint="eastAsia" w:ascii="方正仿宋_GB2312" w:hAnsi="方正仿宋_GB2312" w:eastAsia="方正仿宋_GB2312" w:cs="方正仿宋_GB2312"/>
          <w:sz w:val="32"/>
          <w:szCs w:val="32"/>
          <w:lang w:eastAsia="zh-CN"/>
        </w:rPr>
        <w:t>和方</w:t>
      </w:r>
      <w:r>
        <w:rPr>
          <w:rFonts w:hint="eastAsia" w:ascii="方正仿宋_GB2312" w:hAnsi="方正仿宋_GB2312" w:eastAsia="方正仿宋_GB2312" w:cs="方正仿宋_GB2312"/>
          <w:color w:val="000000"/>
          <w:sz w:val="32"/>
          <w:szCs w:val="32"/>
          <w:lang w:eastAsia="zh-CN"/>
        </w:rPr>
        <w:t>法如下</w:t>
      </w:r>
      <w:r>
        <w:rPr>
          <w:rFonts w:hint="eastAsia" w:ascii="方正仿宋_GB2312" w:hAnsi="方正仿宋_GB2312" w:eastAsia="方正仿宋_GB2312" w:cs="方正仿宋_GB2312"/>
          <w:color w:val="000000"/>
          <w:sz w:val="32"/>
          <w:szCs w:val="32"/>
          <w:lang w:val="en-US" w:eastAsia="zh-CN"/>
        </w:rPr>
        <w:t>。</w:t>
      </w:r>
    </w:p>
    <w:p w14:paraId="4FD7FC98">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val="0"/>
          <w:bCs w:val="0"/>
          <w:sz w:val="32"/>
          <w:szCs w:val="32"/>
          <w:lang w:val="en-US" w:eastAsia="zh-CN"/>
        </w:rPr>
        <w:t>1.</w:t>
      </w:r>
      <w:r>
        <w:rPr>
          <w:rFonts w:hint="eastAsia" w:ascii="方正仿宋_GB2312" w:hAnsi="方正仿宋_GB2312" w:eastAsia="方正仿宋_GB2312" w:cs="方正仿宋_GB2312"/>
          <w:b w:val="0"/>
          <w:bCs w:val="0"/>
          <w:sz w:val="32"/>
          <w:szCs w:val="32"/>
        </w:rPr>
        <w:t>对于直条型式的钢筋，抽样方法如下：</w:t>
      </w:r>
    </w:p>
    <w:p w14:paraId="6C0CEC9E">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优先抽取产品标准中较高强度等级的牌号的产品；</w:t>
      </w:r>
    </w:p>
    <w:p w14:paraId="3C54959A">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将确定的牌号产品按所有规格逐一编号，做到不重不漏，用上述随机数产生方法抽取其中的某一规格；</w:t>
      </w:r>
    </w:p>
    <w:p w14:paraId="034AD025">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将确定的某规格产品按堆放的垛数逐一编号，做到不重不漏，用上述随机数产生方法抽取其中的某一垛；</w:t>
      </w:r>
    </w:p>
    <w:p w14:paraId="0E6AC4F7">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将该垛的表层产品按捆数逐一编号，做到不重不漏，用上述随机数产生方法抽取其中的某一捆产品；</w:t>
      </w:r>
    </w:p>
    <w:p w14:paraId="0B7BF121">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若该捆同批号产品不满足抽样基数，则重复以上（1）～（4）条进行抽样，直到某一捆同批号产品满足抽样基数为止；</w:t>
      </w:r>
    </w:p>
    <w:p w14:paraId="19B3706A">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在该捆中随机抽取5根长度为原长的钢筋，逐根顺序编号为1～5，再从每根钢筋切割出2支长度为1200mm的样品</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2支样品逐支编号标记，应一一对应（如1-a，1-b），每支样品要保证有完整的表面标志，标记a的5支样品为检验样品，标记b的5支样品为备用样品。</w:t>
      </w:r>
    </w:p>
    <w:p w14:paraId="2B59BB1A">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b w:val="0"/>
          <w:bCs w:val="0"/>
          <w:sz w:val="32"/>
          <w:szCs w:val="32"/>
        </w:rPr>
      </w:pPr>
      <w:r>
        <w:rPr>
          <w:rFonts w:hint="eastAsia" w:ascii="方正仿宋_GB2312" w:hAnsi="方正仿宋_GB2312" w:eastAsia="方正仿宋_GB2312" w:cs="方正仿宋_GB2312"/>
          <w:b w:val="0"/>
          <w:bCs w:val="0"/>
          <w:sz w:val="32"/>
          <w:szCs w:val="32"/>
          <w:lang w:val="en-US" w:eastAsia="zh-CN"/>
        </w:rPr>
        <w:t>2.</w:t>
      </w:r>
      <w:r>
        <w:rPr>
          <w:rFonts w:hint="eastAsia" w:ascii="方正仿宋_GB2312" w:hAnsi="方正仿宋_GB2312" w:eastAsia="方正仿宋_GB2312" w:cs="方正仿宋_GB2312"/>
          <w:b w:val="0"/>
          <w:bCs w:val="0"/>
          <w:sz w:val="32"/>
          <w:szCs w:val="32"/>
        </w:rPr>
        <w:t>对于盘卷型式的钢筋，抽样方法如下：</w:t>
      </w:r>
    </w:p>
    <w:p w14:paraId="3EF2E058">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（1）对于热轧带肋钢筋产品，按</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中的优先原则确定所抽产品的牌号；对于热轧光圆钢筋产品，将所有牌号进行编号，做到不重不漏，用上述随机数产生方法抽取其中的某一牌号；</w:t>
      </w:r>
    </w:p>
    <w:p w14:paraId="626816AA">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（2）将确定的牌号产品按所有规格逐一编号，做到不重不漏，用上述随机数产生方法抽取其中的某一规格；</w:t>
      </w:r>
    </w:p>
    <w:p w14:paraId="3B06ACBE">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（3）将确定的某规格产品按堆放的垛数逐一编号，做到不重不漏，用上述随机数产生方法抽取其中的某一垛；</w:t>
      </w:r>
    </w:p>
    <w:p w14:paraId="135A7542">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（4）将该垛的表层产品按盘数逐一编号，做到不重不漏，用上述随机数产生方法抽取其中的某5盘同一批号的产品；</w:t>
      </w:r>
    </w:p>
    <w:p w14:paraId="4AA00C57">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（5）若该层中同批号产品不满足抽样基数，则重复以上（1）～（4）条进行抽样，直到某盘同批号产品满足抽样基数为止；</w:t>
      </w:r>
    </w:p>
    <w:p w14:paraId="33543E05">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（6）在每盘钢筋上距头或尾至少2000mm处，随机截取1根长度为2400mm的钢筋，逐根顺序编号为1～5，再把每根钢筋分成出2支长度为1200mm的样品</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2支样品逐支编号标记，应一一对应（如1-a，1-b），标记a的5支样品为检验样品，标记b的5支样品为备用样品。</w:t>
      </w:r>
    </w:p>
    <w:p w14:paraId="509F3C9C">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在企业成品库抽样时，抽样基数满足抽样数量即可。</w:t>
      </w:r>
    </w:p>
    <w:p w14:paraId="24421051">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注意事项：抽取样品的同时需与每组样品一起封存吊牌标志。</w:t>
      </w:r>
    </w:p>
    <w:p w14:paraId="130FE041">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二、</w:t>
      </w:r>
      <w:r>
        <w:rPr>
          <w:rFonts w:hint="eastAsia" w:ascii="方正仿宋_GB2312" w:hAnsi="方正仿宋_GB2312" w:eastAsia="方正仿宋_GB2312" w:cs="方正仿宋_GB2312"/>
          <w:sz w:val="32"/>
          <w:szCs w:val="32"/>
        </w:rPr>
        <w:t>主要检验项目及检验项目属性划分</w:t>
      </w:r>
    </w:p>
    <w:p w14:paraId="56D4C3D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320" w:firstLineChars="100"/>
        <w:textAlignment w:val="auto"/>
        <w:outlineLvl w:val="9"/>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1.热轧带肋钢筋</w:t>
      </w:r>
    </w:p>
    <w:tbl>
      <w:tblPr>
        <w:tblStyle w:val="7"/>
        <w:tblpPr w:leftFromText="180" w:rightFromText="180" w:vertAnchor="text" w:horzAnchor="page" w:tblpX="1776" w:tblpY="177"/>
        <w:tblOverlap w:val="never"/>
        <w:tblW w:w="8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2164"/>
        <w:gridCol w:w="2164"/>
        <w:gridCol w:w="3244"/>
      </w:tblGrid>
      <w:tr w14:paraId="4562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blHeader/>
        </w:trPr>
        <w:tc>
          <w:tcPr>
            <w:tcW w:w="101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54002E">
            <w:pPr>
              <w:keepNext w:val="0"/>
              <w:keepLines w:val="0"/>
              <w:pageBreakBefore w:val="0"/>
              <w:widowControl w:val="0"/>
              <w:numPr>
                <w:ilvl w:val="0"/>
                <w:numId w:val="0"/>
              </w:numPr>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shd w:val="clear" w:color="auto" w:fill="auto"/>
              </w:rPr>
            </w:pPr>
            <w:r>
              <w:rPr>
                <w:rFonts w:hint="eastAsia" w:ascii="方正仿宋_GB2312" w:hAnsi="方正仿宋_GB2312" w:eastAsia="方正仿宋_GB2312" w:cs="方正仿宋_GB2312"/>
                <w:sz w:val="28"/>
                <w:szCs w:val="28"/>
                <w:shd w:val="clear" w:color="auto" w:fill="auto"/>
              </w:rPr>
              <w:t>序号</w:t>
            </w:r>
          </w:p>
        </w:tc>
        <w:tc>
          <w:tcPr>
            <w:tcW w:w="432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8B84B80">
            <w:pPr>
              <w:keepNext w:val="0"/>
              <w:keepLines w:val="0"/>
              <w:pageBreakBefore w:val="0"/>
              <w:widowControl w:val="0"/>
              <w:kinsoku/>
              <w:wordWrap/>
              <w:overflowPunct/>
              <w:topLinePunct w:val="0"/>
              <w:autoSpaceDE/>
              <w:bidi w:val="0"/>
              <w:snapToGrid w:val="0"/>
              <w:spacing w:line="240" w:lineRule="auto"/>
              <w:ind w:firstLine="1400" w:firstLineChars="500"/>
              <w:jc w:val="both"/>
              <w:outlineLvl w:val="9"/>
              <w:rPr>
                <w:rFonts w:hint="eastAsia" w:ascii="方正仿宋_GB2312" w:hAnsi="方正仿宋_GB2312" w:eastAsia="方正仿宋_GB2312" w:cs="方正仿宋_GB2312"/>
                <w:sz w:val="28"/>
                <w:szCs w:val="28"/>
                <w:shd w:val="clear" w:color="auto" w:fill="auto"/>
              </w:rPr>
            </w:pPr>
            <w:r>
              <w:rPr>
                <w:rFonts w:hint="eastAsia" w:ascii="方正仿宋_GB2312" w:hAnsi="方正仿宋_GB2312" w:eastAsia="方正仿宋_GB2312" w:cs="方正仿宋_GB2312"/>
                <w:sz w:val="28"/>
                <w:szCs w:val="28"/>
                <w:shd w:val="clear" w:color="auto" w:fill="auto"/>
              </w:rPr>
              <w:t>检验项目</w:t>
            </w:r>
          </w:p>
        </w:tc>
        <w:tc>
          <w:tcPr>
            <w:tcW w:w="32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1E81C8">
            <w:pPr>
              <w:keepNext w:val="0"/>
              <w:keepLines w:val="0"/>
              <w:pageBreakBefore w:val="0"/>
              <w:widowControl w:val="0"/>
              <w:kinsoku/>
              <w:wordWrap/>
              <w:overflowPunct/>
              <w:topLinePunct w:val="0"/>
              <w:autoSpaceDE/>
              <w:bidi w:val="0"/>
              <w:snapToGrid w:val="0"/>
              <w:spacing w:line="240" w:lineRule="auto"/>
              <w:ind w:firstLine="840" w:firstLineChars="300"/>
              <w:jc w:val="both"/>
              <w:outlineLvl w:val="9"/>
              <w:rPr>
                <w:rFonts w:hint="eastAsia" w:ascii="方正仿宋_GB2312" w:hAnsi="方正仿宋_GB2312" w:eastAsia="方正仿宋_GB2312" w:cs="方正仿宋_GB2312"/>
                <w:sz w:val="28"/>
                <w:szCs w:val="28"/>
                <w:shd w:val="clear" w:color="auto" w:fill="auto"/>
                <w:lang w:eastAsia="zh-CN"/>
              </w:rPr>
            </w:pPr>
            <w:r>
              <w:rPr>
                <w:rFonts w:hint="eastAsia" w:ascii="方正仿宋_GB2312" w:hAnsi="方正仿宋_GB2312" w:eastAsia="方正仿宋_GB2312" w:cs="方正仿宋_GB2312"/>
                <w:sz w:val="28"/>
                <w:szCs w:val="28"/>
                <w:shd w:val="clear" w:color="auto" w:fill="auto"/>
                <w:lang w:eastAsia="zh-CN"/>
              </w:rPr>
              <w:t>检验方法</w:t>
            </w:r>
          </w:p>
        </w:tc>
      </w:tr>
      <w:tr w14:paraId="1D56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trPr>
        <w:tc>
          <w:tcPr>
            <w:tcW w:w="1016" w:type="dxa"/>
            <w:noWrap w:val="0"/>
            <w:vAlign w:val="center"/>
          </w:tcPr>
          <w:p w14:paraId="52AD8441">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w:t>
            </w:r>
          </w:p>
        </w:tc>
        <w:tc>
          <w:tcPr>
            <w:tcW w:w="4328" w:type="dxa"/>
            <w:gridSpan w:val="2"/>
            <w:noWrap w:val="0"/>
            <w:vAlign w:val="center"/>
          </w:tcPr>
          <w:p w14:paraId="2215BC9A">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bCs/>
                <w:sz w:val="28"/>
                <w:szCs w:val="28"/>
                <w:lang w:eastAsia="zh-CN"/>
              </w:rPr>
              <w:t>下</w:t>
            </w:r>
            <w:r>
              <w:rPr>
                <w:rFonts w:hint="eastAsia" w:ascii="方正仿宋_GB2312" w:hAnsi="方正仿宋_GB2312" w:eastAsia="方正仿宋_GB2312" w:cs="方正仿宋_GB2312"/>
                <w:bCs/>
                <w:sz w:val="28"/>
                <w:szCs w:val="28"/>
              </w:rPr>
              <w:t>屈服强度</w:t>
            </w:r>
          </w:p>
        </w:tc>
        <w:tc>
          <w:tcPr>
            <w:tcW w:w="3244" w:type="dxa"/>
            <w:vMerge w:val="restart"/>
            <w:noWrap w:val="0"/>
            <w:vAlign w:val="center"/>
          </w:tcPr>
          <w:p w14:paraId="643A1B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 1499.2—20</w:t>
            </w:r>
            <w:r>
              <w:rPr>
                <w:rFonts w:hint="eastAsia" w:ascii="Times New Roman" w:hAnsi="Times New Roman" w:eastAsia="仿宋_GB2312" w:cs="仿宋_GB2312"/>
                <w:color w:val="000000"/>
                <w:sz w:val="28"/>
                <w:szCs w:val="28"/>
                <w:lang w:val="en-US" w:eastAsia="zh-CN"/>
              </w:rPr>
              <w:t>24</w:t>
            </w:r>
          </w:p>
          <w:p w14:paraId="260CDA9A">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lang w:eastAsia="zh-CN"/>
              </w:rPr>
            </w:pPr>
            <w:r>
              <w:rPr>
                <w:rFonts w:hint="eastAsia" w:ascii="Times New Roman" w:hAnsi="Times New Roman" w:eastAsia="仿宋_GB2312" w:cs="仿宋_GB2312"/>
                <w:color w:val="000000"/>
                <w:sz w:val="28"/>
                <w:szCs w:val="28"/>
              </w:rPr>
              <w:t>GB/T 28900—2022</w:t>
            </w:r>
          </w:p>
        </w:tc>
      </w:tr>
      <w:tr w14:paraId="430C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noWrap w:val="0"/>
            <w:vAlign w:val="center"/>
          </w:tcPr>
          <w:p w14:paraId="70D317DE">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w:t>
            </w:r>
          </w:p>
        </w:tc>
        <w:tc>
          <w:tcPr>
            <w:tcW w:w="4328" w:type="dxa"/>
            <w:gridSpan w:val="2"/>
            <w:noWrap w:val="0"/>
            <w:vAlign w:val="center"/>
          </w:tcPr>
          <w:p w14:paraId="3167D373">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bCs/>
                <w:sz w:val="28"/>
                <w:szCs w:val="28"/>
              </w:rPr>
              <w:t>抗拉强度</w:t>
            </w:r>
          </w:p>
        </w:tc>
        <w:tc>
          <w:tcPr>
            <w:tcW w:w="3244" w:type="dxa"/>
            <w:vMerge w:val="continue"/>
            <w:noWrap w:val="0"/>
            <w:vAlign w:val="center"/>
          </w:tcPr>
          <w:p w14:paraId="650AC87C">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r>
      <w:tr w14:paraId="6A57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noWrap w:val="0"/>
            <w:vAlign w:val="center"/>
          </w:tcPr>
          <w:p w14:paraId="65743B38">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w:t>
            </w:r>
          </w:p>
        </w:tc>
        <w:tc>
          <w:tcPr>
            <w:tcW w:w="4328" w:type="dxa"/>
            <w:gridSpan w:val="2"/>
            <w:noWrap w:val="0"/>
            <w:vAlign w:val="center"/>
          </w:tcPr>
          <w:p w14:paraId="394721CB">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bCs/>
                <w:sz w:val="28"/>
                <w:szCs w:val="28"/>
              </w:rPr>
              <w:t>断后伸长率</w:t>
            </w:r>
          </w:p>
        </w:tc>
        <w:tc>
          <w:tcPr>
            <w:tcW w:w="3244" w:type="dxa"/>
            <w:vMerge w:val="continue"/>
            <w:noWrap w:val="0"/>
            <w:vAlign w:val="center"/>
          </w:tcPr>
          <w:p w14:paraId="26501C41">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r>
      <w:tr w14:paraId="1DBC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noWrap w:val="0"/>
            <w:vAlign w:val="center"/>
          </w:tcPr>
          <w:p w14:paraId="67D86202">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w:t>
            </w:r>
          </w:p>
        </w:tc>
        <w:tc>
          <w:tcPr>
            <w:tcW w:w="4328" w:type="dxa"/>
            <w:gridSpan w:val="2"/>
            <w:noWrap w:val="0"/>
            <w:vAlign w:val="center"/>
          </w:tcPr>
          <w:p w14:paraId="2AC34D1C">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kern w:val="2"/>
                <w:sz w:val="28"/>
                <w:szCs w:val="28"/>
                <w:lang w:val="en-US" w:eastAsia="zh-CN" w:bidi="ar-SA"/>
              </w:rPr>
            </w:pPr>
            <w:r>
              <w:rPr>
                <w:rFonts w:hint="eastAsia" w:ascii="方正仿宋_GB2312" w:hAnsi="方正仿宋_GB2312" w:eastAsia="方正仿宋_GB2312" w:cs="方正仿宋_GB2312"/>
                <w:bCs/>
                <w:sz w:val="28"/>
                <w:szCs w:val="28"/>
                <w:lang w:eastAsia="zh-CN"/>
              </w:rPr>
              <w:t>最大力总延伸率</w:t>
            </w:r>
          </w:p>
        </w:tc>
        <w:tc>
          <w:tcPr>
            <w:tcW w:w="3244" w:type="dxa"/>
            <w:vMerge w:val="continue"/>
            <w:noWrap w:val="0"/>
            <w:vAlign w:val="center"/>
          </w:tcPr>
          <w:p w14:paraId="2D24E2CF">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lang w:eastAsia="zh-CN"/>
              </w:rPr>
            </w:pPr>
          </w:p>
        </w:tc>
      </w:tr>
      <w:tr w14:paraId="0B40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auto"/>
            <w:noWrap w:val="0"/>
            <w:vAlign w:val="center"/>
          </w:tcPr>
          <w:p w14:paraId="1CECC23C">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rPr>
              <w:t>5</w:t>
            </w:r>
          </w:p>
        </w:tc>
        <w:tc>
          <w:tcPr>
            <w:tcW w:w="4328" w:type="dxa"/>
            <w:gridSpan w:val="2"/>
            <w:shd w:val="clear" w:color="auto" w:fill="auto"/>
            <w:noWrap w:val="0"/>
            <w:vAlign w:val="center"/>
          </w:tcPr>
          <w:p w14:paraId="7FDB98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仿宋_GB2312"/>
                <w:color w:val="000000"/>
                <w:sz w:val="28"/>
                <w:szCs w:val="28"/>
              </w:rPr>
              <w:t>实测抗拉强度与实测屈服强度之比</w:t>
            </w:r>
          </w:p>
        </w:tc>
        <w:tc>
          <w:tcPr>
            <w:tcW w:w="3244" w:type="dxa"/>
            <w:vMerge w:val="continue"/>
            <w:noWrap w:val="0"/>
            <w:vAlign w:val="center"/>
          </w:tcPr>
          <w:p w14:paraId="4B55BC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p>
        </w:tc>
      </w:tr>
      <w:tr w14:paraId="4C02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auto"/>
            <w:noWrap w:val="0"/>
            <w:vAlign w:val="center"/>
          </w:tcPr>
          <w:p w14:paraId="16409BED">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lang w:val="en-US" w:eastAsia="zh-CN"/>
              </w:rPr>
              <w:t>6</w:t>
            </w:r>
          </w:p>
        </w:tc>
        <w:tc>
          <w:tcPr>
            <w:tcW w:w="4328" w:type="dxa"/>
            <w:gridSpan w:val="2"/>
            <w:shd w:val="clear" w:color="auto" w:fill="auto"/>
            <w:noWrap w:val="0"/>
            <w:vAlign w:val="center"/>
          </w:tcPr>
          <w:p w14:paraId="6F0D39F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仿宋_GB2312"/>
                <w:color w:val="000000"/>
                <w:sz w:val="28"/>
                <w:szCs w:val="28"/>
              </w:rPr>
              <w:t>实测屈服强度与屈服强度特征值之比</w:t>
            </w:r>
          </w:p>
        </w:tc>
        <w:tc>
          <w:tcPr>
            <w:tcW w:w="3244" w:type="dxa"/>
            <w:vMerge w:val="continue"/>
            <w:noWrap w:val="0"/>
            <w:vAlign w:val="center"/>
          </w:tcPr>
          <w:p w14:paraId="0F11E2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p>
        </w:tc>
      </w:tr>
      <w:tr w14:paraId="72EF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auto"/>
            <w:noWrap w:val="0"/>
            <w:vAlign w:val="center"/>
          </w:tcPr>
          <w:p w14:paraId="0C68B8A9">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lang w:val="en-US" w:eastAsia="zh-CN"/>
              </w:rPr>
              <w:t>7</w:t>
            </w:r>
          </w:p>
        </w:tc>
        <w:tc>
          <w:tcPr>
            <w:tcW w:w="4328" w:type="dxa"/>
            <w:gridSpan w:val="2"/>
            <w:noWrap w:val="0"/>
            <w:vAlign w:val="center"/>
          </w:tcPr>
          <w:p w14:paraId="76C23F8B">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kern w:val="2"/>
                <w:sz w:val="28"/>
                <w:szCs w:val="28"/>
                <w:lang w:val="en-US" w:eastAsia="zh-CN" w:bidi="ar-SA"/>
              </w:rPr>
            </w:pPr>
            <w:r>
              <w:rPr>
                <w:rFonts w:hint="eastAsia" w:ascii="方正仿宋_GB2312" w:hAnsi="方正仿宋_GB2312" w:eastAsia="方正仿宋_GB2312" w:cs="方正仿宋_GB2312"/>
                <w:bCs/>
                <w:sz w:val="28"/>
                <w:szCs w:val="28"/>
              </w:rPr>
              <w:t>弯曲</w:t>
            </w:r>
            <w:r>
              <w:rPr>
                <w:rFonts w:hint="eastAsia" w:ascii="方正仿宋_GB2312" w:hAnsi="方正仿宋_GB2312" w:eastAsia="方正仿宋_GB2312" w:cs="方正仿宋_GB2312"/>
                <w:bCs/>
                <w:sz w:val="28"/>
                <w:szCs w:val="28"/>
                <w:lang w:eastAsia="zh-CN"/>
              </w:rPr>
              <w:t>性能</w:t>
            </w:r>
          </w:p>
        </w:tc>
        <w:tc>
          <w:tcPr>
            <w:tcW w:w="3244" w:type="dxa"/>
            <w:vMerge w:val="continue"/>
            <w:noWrap w:val="0"/>
            <w:vAlign w:val="center"/>
          </w:tcPr>
          <w:p w14:paraId="2FF76DC0">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r>
      <w:tr w14:paraId="0E81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auto"/>
            <w:noWrap w:val="0"/>
            <w:vAlign w:val="center"/>
          </w:tcPr>
          <w:p w14:paraId="6338132A">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lang w:val="en-US" w:eastAsia="zh-CN"/>
              </w:rPr>
              <w:t>8</w:t>
            </w:r>
          </w:p>
        </w:tc>
        <w:tc>
          <w:tcPr>
            <w:tcW w:w="4328" w:type="dxa"/>
            <w:gridSpan w:val="2"/>
            <w:noWrap w:val="0"/>
            <w:vAlign w:val="center"/>
          </w:tcPr>
          <w:p w14:paraId="1C3AE645">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kern w:val="2"/>
                <w:sz w:val="28"/>
                <w:szCs w:val="28"/>
                <w:lang w:val="en-US" w:eastAsia="zh-CN" w:bidi="ar-SA"/>
              </w:rPr>
            </w:pPr>
            <w:r>
              <w:rPr>
                <w:rFonts w:hint="eastAsia" w:ascii="方正仿宋_GB2312" w:hAnsi="方正仿宋_GB2312" w:eastAsia="方正仿宋_GB2312" w:cs="方正仿宋_GB2312"/>
                <w:bCs/>
                <w:sz w:val="28"/>
                <w:szCs w:val="28"/>
                <w:lang w:eastAsia="zh-CN"/>
              </w:rPr>
              <w:t>反向弯曲性能</w:t>
            </w:r>
          </w:p>
        </w:tc>
        <w:tc>
          <w:tcPr>
            <w:tcW w:w="3244" w:type="dxa"/>
            <w:vMerge w:val="continue"/>
            <w:noWrap w:val="0"/>
            <w:vAlign w:val="center"/>
          </w:tcPr>
          <w:p w14:paraId="05DD9DBE">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lang w:eastAsia="zh-CN"/>
              </w:rPr>
            </w:pPr>
          </w:p>
        </w:tc>
      </w:tr>
      <w:tr w14:paraId="1DE1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auto"/>
            <w:noWrap w:val="0"/>
            <w:vAlign w:val="center"/>
          </w:tcPr>
          <w:p w14:paraId="7BADD758">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lang w:val="en-US" w:eastAsia="zh-CN"/>
              </w:rPr>
              <w:t>9</w:t>
            </w:r>
          </w:p>
        </w:tc>
        <w:tc>
          <w:tcPr>
            <w:tcW w:w="4328" w:type="dxa"/>
            <w:gridSpan w:val="2"/>
            <w:noWrap w:val="0"/>
            <w:vAlign w:val="center"/>
          </w:tcPr>
          <w:p w14:paraId="249014BF">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bCs/>
                <w:sz w:val="28"/>
                <w:szCs w:val="28"/>
              </w:rPr>
              <w:t>重量偏差</w:t>
            </w:r>
          </w:p>
        </w:tc>
        <w:tc>
          <w:tcPr>
            <w:tcW w:w="3244" w:type="dxa"/>
            <w:noWrap w:val="0"/>
            <w:vAlign w:val="center"/>
          </w:tcPr>
          <w:p w14:paraId="2DE6AA70">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r>
              <w:rPr>
                <w:rFonts w:hint="eastAsia" w:ascii="Times New Roman" w:hAnsi="Times New Roman" w:eastAsia="仿宋_GB2312" w:cs="仿宋_GB2312"/>
                <w:color w:val="000000"/>
                <w:sz w:val="28"/>
                <w:szCs w:val="28"/>
              </w:rPr>
              <w:t>GB 1499.2—20</w:t>
            </w:r>
            <w:r>
              <w:rPr>
                <w:rFonts w:hint="eastAsia" w:ascii="Times New Roman" w:hAnsi="Times New Roman" w:eastAsia="仿宋_GB2312" w:cs="仿宋_GB2312"/>
                <w:color w:val="000000"/>
                <w:sz w:val="28"/>
                <w:szCs w:val="28"/>
                <w:lang w:val="en-US" w:eastAsia="zh-CN"/>
              </w:rPr>
              <w:t>24</w:t>
            </w:r>
          </w:p>
        </w:tc>
      </w:tr>
      <w:tr w14:paraId="2E45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shd w:val="clear" w:color="auto" w:fill="auto"/>
            <w:noWrap w:val="0"/>
            <w:vAlign w:val="center"/>
          </w:tcPr>
          <w:p w14:paraId="0B893C44">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lang w:val="en-US" w:eastAsia="zh-CN"/>
              </w:rPr>
              <w:t>10</w:t>
            </w:r>
          </w:p>
        </w:tc>
        <w:tc>
          <w:tcPr>
            <w:tcW w:w="4328" w:type="dxa"/>
            <w:gridSpan w:val="2"/>
            <w:noWrap w:val="0"/>
            <w:vAlign w:val="center"/>
          </w:tcPr>
          <w:p w14:paraId="233EB420">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bCs/>
                <w:sz w:val="28"/>
                <w:szCs w:val="28"/>
              </w:rPr>
              <w:t>表面质量</w:t>
            </w:r>
          </w:p>
        </w:tc>
        <w:tc>
          <w:tcPr>
            <w:tcW w:w="3244" w:type="dxa"/>
            <w:noWrap w:val="0"/>
            <w:vAlign w:val="center"/>
          </w:tcPr>
          <w:p w14:paraId="4F4425F1">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r>
              <w:rPr>
                <w:rFonts w:hint="eastAsia" w:ascii="Times New Roman" w:hAnsi="Times New Roman" w:eastAsia="仿宋_GB2312" w:cs="仿宋_GB2312"/>
                <w:color w:val="000000"/>
                <w:sz w:val="28"/>
                <w:szCs w:val="28"/>
              </w:rPr>
              <w:t>GB 1499.2—20</w:t>
            </w:r>
            <w:r>
              <w:rPr>
                <w:rFonts w:hint="eastAsia" w:ascii="Times New Roman" w:hAnsi="Times New Roman" w:eastAsia="仿宋_GB2312" w:cs="仿宋_GB2312"/>
                <w:color w:val="000000"/>
                <w:sz w:val="28"/>
                <w:szCs w:val="28"/>
                <w:lang w:val="en-US" w:eastAsia="zh-CN"/>
              </w:rPr>
              <w:t>24</w:t>
            </w:r>
          </w:p>
        </w:tc>
      </w:tr>
      <w:tr w14:paraId="1ED5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016" w:type="dxa"/>
            <w:vMerge w:val="restart"/>
            <w:shd w:val="clear" w:color="auto" w:fill="auto"/>
            <w:noWrap w:val="0"/>
            <w:vAlign w:val="center"/>
          </w:tcPr>
          <w:p w14:paraId="1294C87F">
            <w:pPr>
              <w:keepNext w:val="0"/>
              <w:keepLines w:val="0"/>
              <w:pageBreakBefore w:val="0"/>
              <w:widowControl w:val="0"/>
              <w:kinsoku/>
              <w:wordWrap/>
              <w:overflowPunct/>
              <w:topLinePunct w:val="0"/>
              <w:autoSpaceDE/>
              <w:bidi w:val="0"/>
              <w:snapToGrid w:val="0"/>
              <w:spacing w:line="240" w:lineRule="auto"/>
              <w:jc w:val="center"/>
              <w:outlineLvl w:val="9"/>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11</w:t>
            </w:r>
          </w:p>
        </w:tc>
        <w:tc>
          <w:tcPr>
            <w:tcW w:w="2164" w:type="dxa"/>
            <w:vMerge w:val="restart"/>
            <w:noWrap w:val="0"/>
            <w:vAlign w:val="center"/>
          </w:tcPr>
          <w:p w14:paraId="0767570A">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化学</w:t>
            </w:r>
          </w:p>
          <w:p w14:paraId="00ECF72F">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r>
              <w:rPr>
                <w:rFonts w:hint="eastAsia" w:ascii="方正仿宋_GB2312" w:hAnsi="方正仿宋_GB2312" w:eastAsia="方正仿宋_GB2312" w:cs="方正仿宋_GB2312"/>
                <w:bCs/>
                <w:sz w:val="28"/>
                <w:szCs w:val="28"/>
              </w:rPr>
              <w:t>成分</w:t>
            </w:r>
          </w:p>
        </w:tc>
        <w:tc>
          <w:tcPr>
            <w:tcW w:w="2164" w:type="dxa"/>
            <w:shd w:val="clear" w:color="auto" w:fill="auto"/>
            <w:noWrap w:val="0"/>
            <w:vAlign w:val="center"/>
          </w:tcPr>
          <w:p w14:paraId="24AE6C7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仿宋_GB2312"/>
                <w:color w:val="000000"/>
                <w:sz w:val="28"/>
                <w:szCs w:val="28"/>
              </w:rPr>
              <w:t>C</w:t>
            </w:r>
          </w:p>
        </w:tc>
        <w:tc>
          <w:tcPr>
            <w:tcW w:w="3244" w:type="dxa"/>
            <w:vMerge w:val="restart"/>
            <w:noWrap w:val="0"/>
            <w:vAlign w:val="center"/>
          </w:tcPr>
          <w:p w14:paraId="2B51DB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223.5—2008</w:t>
            </w:r>
          </w:p>
          <w:p w14:paraId="51E4D7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223.11—2008</w:t>
            </w:r>
          </w:p>
          <w:p w14:paraId="3C4093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rPr>
              <w:t>GB/T 223.11—20</w:t>
            </w:r>
            <w:r>
              <w:rPr>
                <w:rFonts w:hint="eastAsia" w:cs="仿宋_GB2312"/>
                <w:color w:val="000000"/>
                <w:sz w:val="28"/>
                <w:szCs w:val="28"/>
                <w:lang w:val="en-US" w:eastAsia="zh-CN"/>
              </w:rPr>
              <w:t>25</w:t>
            </w:r>
          </w:p>
          <w:p w14:paraId="39F7D3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223.14—2000</w:t>
            </w:r>
          </w:p>
          <w:p w14:paraId="3ABF64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223.19—1989</w:t>
            </w:r>
          </w:p>
          <w:p w14:paraId="1AA5C6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223.23—2008</w:t>
            </w:r>
          </w:p>
          <w:p w14:paraId="683D83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223.26—2008</w:t>
            </w:r>
          </w:p>
          <w:p w14:paraId="14C0C7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223.40—2007</w:t>
            </w:r>
          </w:p>
          <w:p w14:paraId="688F9B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223.59—2008</w:t>
            </w:r>
          </w:p>
          <w:p w14:paraId="37E88C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223.63—2022</w:t>
            </w:r>
          </w:p>
          <w:p w14:paraId="578C81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223.85—2009</w:t>
            </w:r>
          </w:p>
          <w:p w14:paraId="2AD36A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223.86—2009</w:t>
            </w:r>
          </w:p>
          <w:p w14:paraId="38F72A7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4336—2016</w:t>
            </w:r>
          </w:p>
          <w:p w14:paraId="36D9EC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20123—2006</w:t>
            </w:r>
          </w:p>
          <w:p w14:paraId="79ADAA89">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r>
              <w:rPr>
                <w:rFonts w:hint="eastAsia" w:ascii="Times New Roman" w:hAnsi="Times New Roman" w:eastAsia="仿宋_GB2312" w:cs="仿宋_GB2312"/>
                <w:color w:val="000000"/>
                <w:sz w:val="28"/>
                <w:szCs w:val="28"/>
              </w:rPr>
              <w:t>GB/T 20125—2006</w:t>
            </w:r>
          </w:p>
        </w:tc>
      </w:tr>
      <w:tr w14:paraId="21FF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016" w:type="dxa"/>
            <w:vMerge w:val="continue"/>
            <w:shd w:val="clear" w:color="auto" w:fill="auto"/>
            <w:noWrap w:val="0"/>
            <w:vAlign w:val="center"/>
          </w:tcPr>
          <w:p w14:paraId="74E77EB0">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lang w:val="en-US" w:eastAsia="zh-CN"/>
              </w:rPr>
            </w:pPr>
          </w:p>
        </w:tc>
        <w:tc>
          <w:tcPr>
            <w:tcW w:w="2164" w:type="dxa"/>
            <w:vMerge w:val="continue"/>
            <w:noWrap w:val="0"/>
            <w:vAlign w:val="center"/>
          </w:tcPr>
          <w:p w14:paraId="2B684B88">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c>
          <w:tcPr>
            <w:tcW w:w="2164" w:type="dxa"/>
            <w:shd w:val="clear" w:color="auto" w:fill="auto"/>
            <w:noWrap w:val="0"/>
            <w:vAlign w:val="center"/>
          </w:tcPr>
          <w:p w14:paraId="4021E9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仿宋_GB2312"/>
                <w:color w:val="000000"/>
                <w:sz w:val="28"/>
                <w:szCs w:val="28"/>
              </w:rPr>
              <w:t>Si</w:t>
            </w:r>
          </w:p>
        </w:tc>
        <w:tc>
          <w:tcPr>
            <w:tcW w:w="3244" w:type="dxa"/>
            <w:vMerge w:val="continue"/>
            <w:noWrap w:val="0"/>
            <w:vAlign w:val="center"/>
          </w:tcPr>
          <w:p w14:paraId="35178F9D">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r>
      <w:tr w14:paraId="7534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016" w:type="dxa"/>
            <w:vMerge w:val="continue"/>
            <w:shd w:val="clear" w:color="auto" w:fill="auto"/>
            <w:noWrap w:val="0"/>
            <w:vAlign w:val="center"/>
          </w:tcPr>
          <w:p w14:paraId="5998C343">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lang w:val="en-US" w:eastAsia="zh-CN"/>
              </w:rPr>
            </w:pPr>
          </w:p>
        </w:tc>
        <w:tc>
          <w:tcPr>
            <w:tcW w:w="2164" w:type="dxa"/>
            <w:vMerge w:val="continue"/>
            <w:noWrap w:val="0"/>
            <w:vAlign w:val="center"/>
          </w:tcPr>
          <w:p w14:paraId="074071FE">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c>
          <w:tcPr>
            <w:tcW w:w="2164" w:type="dxa"/>
            <w:shd w:val="clear" w:color="auto" w:fill="auto"/>
            <w:noWrap w:val="0"/>
            <w:vAlign w:val="center"/>
          </w:tcPr>
          <w:p w14:paraId="353A03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仿宋_GB2312"/>
                <w:color w:val="000000"/>
                <w:sz w:val="28"/>
                <w:szCs w:val="28"/>
              </w:rPr>
              <w:t>Mn</w:t>
            </w:r>
          </w:p>
        </w:tc>
        <w:tc>
          <w:tcPr>
            <w:tcW w:w="3244" w:type="dxa"/>
            <w:vMerge w:val="continue"/>
            <w:noWrap w:val="0"/>
            <w:vAlign w:val="center"/>
          </w:tcPr>
          <w:p w14:paraId="390BB989">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r>
      <w:tr w14:paraId="5B2F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016" w:type="dxa"/>
            <w:vMerge w:val="continue"/>
            <w:shd w:val="clear" w:color="auto" w:fill="auto"/>
            <w:noWrap w:val="0"/>
            <w:vAlign w:val="center"/>
          </w:tcPr>
          <w:p w14:paraId="32A4755D">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lang w:val="en-US" w:eastAsia="zh-CN"/>
              </w:rPr>
            </w:pPr>
          </w:p>
        </w:tc>
        <w:tc>
          <w:tcPr>
            <w:tcW w:w="2164" w:type="dxa"/>
            <w:vMerge w:val="continue"/>
            <w:noWrap w:val="0"/>
            <w:vAlign w:val="center"/>
          </w:tcPr>
          <w:p w14:paraId="375D625C">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c>
          <w:tcPr>
            <w:tcW w:w="2164" w:type="dxa"/>
            <w:shd w:val="clear" w:color="auto" w:fill="auto"/>
            <w:noWrap w:val="0"/>
            <w:vAlign w:val="center"/>
          </w:tcPr>
          <w:p w14:paraId="402FF4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仿宋_GB2312"/>
                <w:color w:val="000000"/>
                <w:sz w:val="28"/>
                <w:szCs w:val="28"/>
              </w:rPr>
              <w:t>P</w:t>
            </w:r>
          </w:p>
        </w:tc>
        <w:tc>
          <w:tcPr>
            <w:tcW w:w="3244" w:type="dxa"/>
            <w:vMerge w:val="continue"/>
            <w:noWrap w:val="0"/>
            <w:vAlign w:val="center"/>
          </w:tcPr>
          <w:p w14:paraId="566C5D11">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r>
      <w:tr w14:paraId="466D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1016" w:type="dxa"/>
            <w:vMerge w:val="continue"/>
            <w:shd w:val="clear" w:color="auto" w:fill="auto"/>
            <w:noWrap w:val="0"/>
            <w:vAlign w:val="center"/>
          </w:tcPr>
          <w:p w14:paraId="7726907E">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lang w:val="en-US" w:eastAsia="zh-CN"/>
              </w:rPr>
            </w:pPr>
          </w:p>
        </w:tc>
        <w:tc>
          <w:tcPr>
            <w:tcW w:w="2164" w:type="dxa"/>
            <w:vMerge w:val="continue"/>
            <w:noWrap w:val="0"/>
            <w:vAlign w:val="center"/>
          </w:tcPr>
          <w:p w14:paraId="24F5C417">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c>
          <w:tcPr>
            <w:tcW w:w="2164" w:type="dxa"/>
            <w:shd w:val="clear" w:color="auto" w:fill="auto"/>
            <w:noWrap w:val="0"/>
            <w:vAlign w:val="center"/>
          </w:tcPr>
          <w:p w14:paraId="30E03D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kern w:val="2"/>
                <w:sz w:val="28"/>
                <w:szCs w:val="28"/>
                <w:lang w:val="en-US" w:eastAsia="zh-CN" w:bidi="ar-SA"/>
              </w:rPr>
            </w:pPr>
            <w:r>
              <w:rPr>
                <w:rFonts w:hint="eastAsia" w:ascii="Times New Roman" w:hAnsi="Times New Roman" w:eastAsia="仿宋_GB2312" w:cs="仿宋_GB2312"/>
                <w:color w:val="000000"/>
                <w:sz w:val="28"/>
                <w:szCs w:val="28"/>
              </w:rPr>
              <w:t>S</w:t>
            </w:r>
          </w:p>
        </w:tc>
        <w:tc>
          <w:tcPr>
            <w:tcW w:w="3244" w:type="dxa"/>
            <w:vMerge w:val="continue"/>
            <w:noWrap w:val="0"/>
            <w:vAlign w:val="center"/>
          </w:tcPr>
          <w:p w14:paraId="303A4EEC">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rPr>
            </w:pPr>
          </w:p>
        </w:tc>
      </w:tr>
      <w:tr w14:paraId="48B1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noWrap w:val="0"/>
            <w:vAlign w:val="center"/>
          </w:tcPr>
          <w:p w14:paraId="5F590EBA">
            <w:pPr>
              <w:keepNext w:val="0"/>
              <w:keepLines w:val="0"/>
              <w:pageBreakBefore w:val="0"/>
              <w:widowControl w:val="0"/>
              <w:kinsoku/>
              <w:wordWrap/>
              <w:overflowPunct/>
              <w:topLinePunct w:val="0"/>
              <w:autoSpaceDE/>
              <w:bidi w:val="0"/>
              <w:snapToGrid w:val="0"/>
              <w:spacing w:line="240" w:lineRule="auto"/>
              <w:jc w:val="center"/>
              <w:outlineLvl w:val="9"/>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12</w:t>
            </w:r>
          </w:p>
        </w:tc>
        <w:tc>
          <w:tcPr>
            <w:tcW w:w="4328" w:type="dxa"/>
            <w:gridSpan w:val="2"/>
            <w:noWrap w:val="0"/>
            <w:vAlign w:val="center"/>
          </w:tcPr>
          <w:p w14:paraId="43D40D34">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kern w:val="2"/>
                <w:sz w:val="28"/>
                <w:szCs w:val="28"/>
                <w:lang w:val="en-US" w:eastAsia="zh-CN" w:bidi="ar-SA"/>
              </w:rPr>
            </w:pPr>
            <w:r>
              <w:rPr>
                <w:rFonts w:hint="eastAsia" w:ascii="方正仿宋_GB2312" w:hAnsi="方正仿宋_GB2312" w:eastAsia="方正仿宋_GB2312" w:cs="方正仿宋_GB2312"/>
                <w:bCs/>
                <w:sz w:val="28"/>
                <w:szCs w:val="28"/>
                <w:lang w:eastAsia="zh-CN"/>
              </w:rPr>
              <w:t>碳当量</w:t>
            </w:r>
          </w:p>
        </w:tc>
        <w:tc>
          <w:tcPr>
            <w:tcW w:w="3244" w:type="dxa"/>
            <w:vMerge w:val="continue"/>
            <w:noWrap w:val="0"/>
            <w:vAlign w:val="center"/>
          </w:tcPr>
          <w:p w14:paraId="389368AE">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bCs/>
                <w:sz w:val="28"/>
                <w:szCs w:val="28"/>
                <w:lang w:eastAsia="zh-CN"/>
              </w:rPr>
            </w:pPr>
          </w:p>
        </w:tc>
      </w:tr>
      <w:tr w14:paraId="770C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16" w:type="dxa"/>
            <w:noWrap w:val="0"/>
            <w:vAlign w:val="center"/>
          </w:tcPr>
          <w:p w14:paraId="276FC0AC">
            <w:pPr>
              <w:keepNext w:val="0"/>
              <w:keepLines w:val="0"/>
              <w:pageBreakBefore w:val="0"/>
              <w:widowControl w:val="0"/>
              <w:kinsoku/>
              <w:wordWrap/>
              <w:overflowPunct/>
              <w:topLinePunct w:val="0"/>
              <w:autoSpaceDE/>
              <w:bidi w:val="0"/>
              <w:snapToGrid w:val="0"/>
              <w:spacing w:line="240" w:lineRule="auto"/>
              <w:jc w:val="center"/>
              <w:outlineLvl w:val="9"/>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13</w:t>
            </w:r>
          </w:p>
        </w:tc>
        <w:tc>
          <w:tcPr>
            <w:tcW w:w="4328" w:type="dxa"/>
            <w:gridSpan w:val="2"/>
            <w:noWrap w:val="0"/>
            <w:vAlign w:val="center"/>
          </w:tcPr>
          <w:p w14:paraId="0AFD46C2">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sz w:val="28"/>
                <w:szCs w:val="28"/>
                <w:lang w:eastAsia="zh-CN"/>
              </w:rPr>
              <w:t>金相组织</w:t>
            </w:r>
          </w:p>
        </w:tc>
        <w:tc>
          <w:tcPr>
            <w:tcW w:w="3244" w:type="dxa"/>
            <w:noWrap w:val="0"/>
            <w:vAlign w:val="center"/>
          </w:tcPr>
          <w:p w14:paraId="16733E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 1499.2—20</w:t>
            </w:r>
            <w:r>
              <w:rPr>
                <w:rFonts w:hint="eastAsia" w:ascii="Times New Roman" w:hAnsi="Times New Roman" w:eastAsia="仿宋_GB2312" w:cs="仿宋_GB2312"/>
                <w:color w:val="000000"/>
                <w:sz w:val="28"/>
                <w:szCs w:val="28"/>
                <w:lang w:val="en-US" w:eastAsia="zh-CN"/>
              </w:rPr>
              <w:t>24</w:t>
            </w:r>
          </w:p>
          <w:p w14:paraId="43EB6E95">
            <w:pPr>
              <w:keepNext w:val="0"/>
              <w:keepLines w:val="0"/>
              <w:pageBreakBefore w:val="0"/>
              <w:widowControl w:val="0"/>
              <w:kinsoku/>
              <w:wordWrap/>
              <w:overflowPunct/>
              <w:topLinePunct w:val="0"/>
              <w:autoSpaceDE/>
              <w:bidi w:val="0"/>
              <w:snapToGrid w:val="0"/>
              <w:spacing w:line="240" w:lineRule="auto"/>
              <w:jc w:val="center"/>
              <w:outlineLvl w:val="9"/>
              <w:rPr>
                <w:rFonts w:hint="eastAsia" w:ascii="方正仿宋_GB2312" w:hAnsi="方正仿宋_GB2312" w:eastAsia="方正仿宋_GB2312" w:cs="方正仿宋_GB2312"/>
                <w:sz w:val="28"/>
                <w:szCs w:val="28"/>
                <w:lang w:eastAsia="zh-CN"/>
              </w:rPr>
            </w:pPr>
            <w:r>
              <w:rPr>
                <w:rFonts w:hint="eastAsia" w:ascii="Times New Roman" w:hAnsi="Times New Roman" w:eastAsia="仿宋_GB2312" w:cs="仿宋_GB2312"/>
                <w:color w:val="000000"/>
                <w:sz w:val="28"/>
                <w:szCs w:val="28"/>
              </w:rPr>
              <w:t>GB/T 13298—2015</w:t>
            </w:r>
          </w:p>
        </w:tc>
      </w:tr>
    </w:tbl>
    <w:p w14:paraId="2299AC57">
      <w:pPr>
        <w:keepNext w:val="0"/>
        <w:keepLines w:val="0"/>
        <w:pageBreakBefore w:val="0"/>
        <w:widowControl w:val="0"/>
        <w:numPr>
          <w:ilvl w:val="0"/>
          <w:numId w:val="0"/>
        </w:numPr>
        <w:kinsoku/>
        <w:wordWrap/>
        <w:overflowPunct/>
        <w:topLinePunct w:val="0"/>
        <w:autoSpaceDE/>
        <w:bidi w:val="0"/>
        <w:snapToGrid w:val="0"/>
        <w:spacing w:line="240" w:lineRule="auto"/>
        <w:ind w:firstLine="320" w:firstLineChars="100"/>
        <w:jc w:val="both"/>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2.热轧光圆钢筋</w:t>
      </w:r>
    </w:p>
    <w:tbl>
      <w:tblPr>
        <w:tblStyle w:val="8"/>
        <w:tblW w:w="8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9"/>
        <w:gridCol w:w="1857"/>
        <w:gridCol w:w="1857"/>
        <w:gridCol w:w="3252"/>
      </w:tblGrid>
      <w:tr w14:paraId="485C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6FB8F786">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rPr>
              <w:t>序号</w:t>
            </w:r>
          </w:p>
        </w:tc>
        <w:tc>
          <w:tcPr>
            <w:tcW w:w="3714" w:type="dxa"/>
            <w:gridSpan w:val="2"/>
            <w:vAlign w:val="center"/>
          </w:tcPr>
          <w:p w14:paraId="781D4C57">
            <w:pPr>
              <w:keepNext w:val="0"/>
              <w:keepLines w:val="0"/>
              <w:pageBreakBefore w:val="0"/>
              <w:widowControl w:val="0"/>
              <w:kinsoku/>
              <w:wordWrap/>
              <w:overflowPunct/>
              <w:topLinePunct w:val="0"/>
              <w:autoSpaceDE/>
              <w:bidi w:val="0"/>
              <w:snapToGrid w:val="0"/>
              <w:spacing w:line="240" w:lineRule="auto"/>
              <w:ind w:firstLine="560" w:firstLineChars="200"/>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rPr>
              <w:t>检验项目</w:t>
            </w:r>
          </w:p>
        </w:tc>
        <w:tc>
          <w:tcPr>
            <w:tcW w:w="3252" w:type="dxa"/>
            <w:vAlign w:val="center"/>
          </w:tcPr>
          <w:p w14:paraId="790BAC3F">
            <w:pPr>
              <w:keepNext w:val="0"/>
              <w:keepLines w:val="0"/>
              <w:pageBreakBefore w:val="0"/>
              <w:widowControl w:val="0"/>
              <w:kinsoku/>
              <w:wordWrap/>
              <w:overflowPunct/>
              <w:topLinePunct w:val="0"/>
              <w:autoSpaceDE/>
              <w:bidi w:val="0"/>
              <w:adjustRightInd w:val="0"/>
              <w:snapToGrid w:val="0"/>
              <w:spacing w:line="240" w:lineRule="auto"/>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检测方法</w:t>
            </w:r>
          </w:p>
        </w:tc>
      </w:tr>
      <w:tr w14:paraId="1A8F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61C53F17">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rPr>
              <w:t>1</w:t>
            </w:r>
          </w:p>
        </w:tc>
        <w:tc>
          <w:tcPr>
            <w:tcW w:w="3714" w:type="dxa"/>
            <w:gridSpan w:val="2"/>
            <w:vAlign w:val="center"/>
          </w:tcPr>
          <w:p w14:paraId="012BEAE6">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bCs/>
                <w:sz w:val="32"/>
                <w:szCs w:val="32"/>
                <w:lang w:eastAsia="zh-CN"/>
              </w:rPr>
              <w:t>下</w:t>
            </w:r>
            <w:r>
              <w:rPr>
                <w:rFonts w:hint="eastAsia" w:ascii="方正仿宋_GB2312" w:hAnsi="方正仿宋_GB2312" w:eastAsia="方正仿宋_GB2312" w:cs="方正仿宋_GB2312"/>
                <w:bCs/>
                <w:sz w:val="32"/>
                <w:szCs w:val="32"/>
              </w:rPr>
              <w:t>屈服强度</w:t>
            </w:r>
          </w:p>
        </w:tc>
        <w:tc>
          <w:tcPr>
            <w:tcW w:w="3252" w:type="dxa"/>
            <w:vMerge w:val="restart"/>
            <w:vAlign w:val="center"/>
          </w:tcPr>
          <w:p w14:paraId="06C726D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cs="仿宋_GB2312"/>
                <w:color w:val="000000"/>
                <w:sz w:val="28"/>
                <w:szCs w:val="28"/>
                <w:lang w:val="en-US" w:eastAsia="zh-CN"/>
              </w:rPr>
              <w:t xml:space="preserve">  </w:t>
            </w:r>
            <w:r>
              <w:rPr>
                <w:rFonts w:hint="eastAsia" w:ascii="Times New Roman" w:hAnsi="Times New Roman" w:eastAsia="仿宋_GB2312" w:cs="仿宋_GB2312"/>
                <w:color w:val="000000"/>
                <w:sz w:val="28"/>
                <w:szCs w:val="28"/>
              </w:rPr>
              <w:t>GB 1499.1—20</w:t>
            </w:r>
            <w:r>
              <w:rPr>
                <w:rFonts w:hint="eastAsia" w:ascii="Times New Roman" w:hAnsi="Times New Roman" w:eastAsia="仿宋_GB2312" w:cs="仿宋_GB2312"/>
                <w:color w:val="000000"/>
                <w:sz w:val="28"/>
                <w:szCs w:val="28"/>
                <w:lang w:val="en-US" w:eastAsia="zh-CN"/>
              </w:rPr>
              <w:t>24</w:t>
            </w:r>
          </w:p>
          <w:p w14:paraId="1F4D85D2">
            <w:pPr>
              <w:keepNext w:val="0"/>
              <w:keepLines w:val="0"/>
              <w:pageBreakBefore w:val="0"/>
              <w:widowControl w:val="0"/>
              <w:kinsoku/>
              <w:wordWrap/>
              <w:overflowPunct/>
              <w:topLinePunct w:val="0"/>
              <w:autoSpaceDE/>
              <w:bidi w:val="0"/>
              <w:adjustRightInd/>
              <w:snapToGrid w:val="0"/>
              <w:spacing w:line="240" w:lineRule="auto"/>
              <w:ind w:firstLine="560" w:firstLineChars="200"/>
              <w:textAlignment w:val="auto"/>
              <w:rPr>
                <w:rFonts w:hint="eastAsia" w:ascii="方正仿宋_GB2312" w:hAnsi="方正仿宋_GB2312" w:eastAsia="方正仿宋_GB2312" w:cs="方正仿宋_GB2312"/>
                <w:sz w:val="32"/>
                <w:szCs w:val="32"/>
                <w:vertAlign w:val="baseline"/>
                <w:lang w:val="en-US" w:eastAsia="zh-CN"/>
              </w:rPr>
            </w:pPr>
            <w:r>
              <w:rPr>
                <w:rFonts w:hint="eastAsia" w:ascii="Times New Roman" w:hAnsi="Times New Roman" w:eastAsia="仿宋_GB2312" w:cs="仿宋_GB2312"/>
                <w:color w:val="000000"/>
                <w:sz w:val="28"/>
                <w:szCs w:val="28"/>
              </w:rPr>
              <w:t>GB/T 28900—2022</w:t>
            </w:r>
          </w:p>
        </w:tc>
      </w:tr>
      <w:tr w14:paraId="31E5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27A015F3">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rPr>
              <w:t>2</w:t>
            </w:r>
          </w:p>
        </w:tc>
        <w:tc>
          <w:tcPr>
            <w:tcW w:w="3714" w:type="dxa"/>
            <w:gridSpan w:val="2"/>
            <w:vAlign w:val="center"/>
          </w:tcPr>
          <w:p w14:paraId="311F755E">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bCs/>
                <w:sz w:val="32"/>
                <w:szCs w:val="32"/>
              </w:rPr>
              <w:t>抗拉强度</w:t>
            </w:r>
          </w:p>
        </w:tc>
        <w:tc>
          <w:tcPr>
            <w:tcW w:w="3252" w:type="dxa"/>
            <w:vMerge w:val="continue"/>
          </w:tcPr>
          <w:p w14:paraId="65727D5C">
            <w:pPr>
              <w:keepNext w:val="0"/>
              <w:keepLines w:val="0"/>
              <w:pageBreakBefore w:val="0"/>
              <w:widowControl w:val="0"/>
              <w:numPr>
                <w:ilvl w:val="0"/>
                <w:numId w:val="0"/>
              </w:numPr>
              <w:kinsoku/>
              <w:wordWrap/>
              <w:overflowPunct/>
              <w:topLinePunct w:val="0"/>
              <w:autoSpaceDE/>
              <w:autoSpaceDN/>
              <w:bidi w:val="0"/>
              <w:spacing w:line="240" w:lineRule="auto"/>
              <w:textAlignment w:val="auto"/>
              <w:outlineLvl w:val="9"/>
              <w:rPr>
                <w:rFonts w:hint="eastAsia" w:ascii="方正仿宋_GB2312" w:hAnsi="方正仿宋_GB2312" w:eastAsia="方正仿宋_GB2312" w:cs="方正仿宋_GB2312"/>
                <w:sz w:val="32"/>
                <w:szCs w:val="32"/>
                <w:vertAlign w:val="baseline"/>
                <w:lang w:val="en-US" w:eastAsia="zh-CN"/>
              </w:rPr>
            </w:pPr>
          </w:p>
        </w:tc>
      </w:tr>
      <w:tr w14:paraId="4223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1B93F916">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rPr>
              <w:t>3</w:t>
            </w:r>
          </w:p>
        </w:tc>
        <w:tc>
          <w:tcPr>
            <w:tcW w:w="3714" w:type="dxa"/>
            <w:gridSpan w:val="2"/>
            <w:vAlign w:val="center"/>
          </w:tcPr>
          <w:p w14:paraId="48BEDB70">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bCs/>
                <w:sz w:val="32"/>
                <w:szCs w:val="32"/>
              </w:rPr>
              <w:t>断后伸长率</w:t>
            </w:r>
          </w:p>
        </w:tc>
        <w:tc>
          <w:tcPr>
            <w:tcW w:w="3252" w:type="dxa"/>
            <w:vMerge w:val="continue"/>
          </w:tcPr>
          <w:p w14:paraId="50812C64">
            <w:pPr>
              <w:keepNext w:val="0"/>
              <w:keepLines w:val="0"/>
              <w:pageBreakBefore w:val="0"/>
              <w:widowControl w:val="0"/>
              <w:numPr>
                <w:ilvl w:val="0"/>
                <w:numId w:val="0"/>
              </w:numPr>
              <w:kinsoku/>
              <w:wordWrap/>
              <w:overflowPunct/>
              <w:topLinePunct w:val="0"/>
              <w:autoSpaceDE/>
              <w:autoSpaceDN/>
              <w:bidi w:val="0"/>
              <w:spacing w:line="240" w:lineRule="auto"/>
              <w:textAlignment w:val="auto"/>
              <w:outlineLvl w:val="9"/>
              <w:rPr>
                <w:rFonts w:hint="eastAsia" w:ascii="方正仿宋_GB2312" w:hAnsi="方正仿宋_GB2312" w:eastAsia="方正仿宋_GB2312" w:cs="方正仿宋_GB2312"/>
                <w:sz w:val="32"/>
                <w:szCs w:val="32"/>
                <w:vertAlign w:val="baseline"/>
                <w:lang w:val="en-US" w:eastAsia="zh-CN"/>
              </w:rPr>
            </w:pPr>
          </w:p>
        </w:tc>
      </w:tr>
      <w:tr w14:paraId="5616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20B0DECE">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rPr>
              <w:t>4</w:t>
            </w:r>
          </w:p>
        </w:tc>
        <w:tc>
          <w:tcPr>
            <w:tcW w:w="3714" w:type="dxa"/>
            <w:gridSpan w:val="2"/>
            <w:vAlign w:val="center"/>
          </w:tcPr>
          <w:p w14:paraId="0644020B">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bCs/>
                <w:sz w:val="32"/>
                <w:szCs w:val="32"/>
                <w:lang w:eastAsia="zh-CN"/>
              </w:rPr>
              <w:t>最大力总延伸率</w:t>
            </w:r>
          </w:p>
        </w:tc>
        <w:tc>
          <w:tcPr>
            <w:tcW w:w="3252" w:type="dxa"/>
            <w:vMerge w:val="continue"/>
          </w:tcPr>
          <w:p w14:paraId="04686E70">
            <w:pPr>
              <w:keepNext w:val="0"/>
              <w:keepLines w:val="0"/>
              <w:pageBreakBefore w:val="0"/>
              <w:widowControl w:val="0"/>
              <w:numPr>
                <w:ilvl w:val="0"/>
                <w:numId w:val="0"/>
              </w:numPr>
              <w:kinsoku/>
              <w:wordWrap/>
              <w:overflowPunct/>
              <w:topLinePunct w:val="0"/>
              <w:autoSpaceDE/>
              <w:autoSpaceDN/>
              <w:bidi w:val="0"/>
              <w:spacing w:line="240" w:lineRule="auto"/>
              <w:textAlignment w:val="auto"/>
              <w:outlineLvl w:val="9"/>
              <w:rPr>
                <w:rFonts w:hint="eastAsia" w:ascii="方正仿宋_GB2312" w:hAnsi="方正仿宋_GB2312" w:eastAsia="方正仿宋_GB2312" w:cs="方正仿宋_GB2312"/>
                <w:sz w:val="32"/>
                <w:szCs w:val="32"/>
                <w:vertAlign w:val="baseline"/>
                <w:lang w:val="en-US" w:eastAsia="zh-CN"/>
              </w:rPr>
            </w:pPr>
          </w:p>
        </w:tc>
      </w:tr>
      <w:tr w14:paraId="090A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2CABF9DA">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rPr>
              <w:t>5</w:t>
            </w:r>
          </w:p>
        </w:tc>
        <w:tc>
          <w:tcPr>
            <w:tcW w:w="3714" w:type="dxa"/>
            <w:gridSpan w:val="2"/>
            <w:vAlign w:val="center"/>
          </w:tcPr>
          <w:p w14:paraId="154AF1EE">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bCs/>
                <w:sz w:val="32"/>
                <w:szCs w:val="32"/>
              </w:rPr>
              <w:t>弯曲性能</w:t>
            </w:r>
          </w:p>
        </w:tc>
        <w:tc>
          <w:tcPr>
            <w:tcW w:w="3252" w:type="dxa"/>
          </w:tcPr>
          <w:p w14:paraId="339FC84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cs="仿宋_GB2312"/>
                <w:color w:val="000000"/>
                <w:sz w:val="28"/>
                <w:szCs w:val="28"/>
                <w:lang w:val="en-US" w:eastAsia="zh-CN"/>
              </w:rPr>
              <w:t xml:space="preserve">  </w:t>
            </w:r>
            <w:r>
              <w:rPr>
                <w:rFonts w:hint="eastAsia" w:ascii="Times New Roman" w:hAnsi="Times New Roman" w:eastAsia="仿宋_GB2312" w:cs="仿宋_GB2312"/>
                <w:color w:val="000000"/>
                <w:sz w:val="28"/>
                <w:szCs w:val="28"/>
              </w:rPr>
              <w:t>GB 1499.1—20</w:t>
            </w:r>
            <w:r>
              <w:rPr>
                <w:rFonts w:hint="eastAsia" w:ascii="Times New Roman" w:hAnsi="Times New Roman" w:eastAsia="仿宋_GB2312" w:cs="仿宋_GB2312"/>
                <w:color w:val="000000"/>
                <w:sz w:val="28"/>
                <w:szCs w:val="28"/>
                <w:lang w:val="en-US" w:eastAsia="zh-CN"/>
              </w:rPr>
              <w:t>24</w:t>
            </w:r>
          </w:p>
          <w:p w14:paraId="7033125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textAlignment w:val="auto"/>
              <w:outlineLvl w:val="9"/>
              <w:rPr>
                <w:rFonts w:hint="eastAsia" w:ascii="方正仿宋_GB2312" w:hAnsi="方正仿宋_GB2312" w:eastAsia="方正仿宋_GB2312" w:cs="方正仿宋_GB2312"/>
                <w:sz w:val="32"/>
                <w:szCs w:val="32"/>
                <w:vertAlign w:val="baseline"/>
                <w:lang w:val="en-US" w:eastAsia="zh-CN"/>
              </w:rPr>
            </w:pPr>
            <w:r>
              <w:rPr>
                <w:rFonts w:hint="eastAsia" w:ascii="Times New Roman" w:hAnsi="Times New Roman" w:eastAsia="仿宋_GB2312" w:cs="仿宋_GB2312"/>
                <w:color w:val="000000"/>
                <w:sz w:val="28"/>
                <w:szCs w:val="28"/>
              </w:rPr>
              <w:t>GB/T 28900—2022</w:t>
            </w:r>
          </w:p>
        </w:tc>
      </w:tr>
      <w:tr w14:paraId="034E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09" w:type="dxa"/>
            <w:vMerge w:val="restart"/>
            <w:vAlign w:val="center"/>
          </w:tcPr>
          <w:p w14:paraId="5C2A11CA">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6</w:t>
            </w:r>
          </w:p>
        </w:tc>
        <w:tc>
          <w:tcPr>
            <w:tcW w:w="1857" w:type="dxa"/>
            <w:vMerge w:val="restart"/>
            <w:vAlign w:val="center"/>
          </w:tcPr>
          <w:p w14:paraId="6E8E2F3A">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bCs/>
                <w:sz w:val="32"/>
                <w:szCs w:val="32"/>
              </w:rPr>
            </w:pPr>
            <w:r>
              <w:rPr>
                <w:rFonts w:hint="eastAsia" w:ascii="方正仿宋_GB2312" w:hAnsi="方正仿宋_GB2312" w:eastAsia="方正仿宋_GB2312" w:cs="方正仿宋_GB2312"/>
                <w:bCs/>
                <w:sz w:val="32"/>
                <w:szCs w:val="32"/>
              </w:rPr>
              <w:t>化学</w:t>
            </w:r>
          </w:p>
          <w:p w14:paraId="464AA908">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Cs/>
                <w:sz w:val="32"/>
                <w:szCs w:val="32"/>
              </w:rPr>
              <w:t>成分</w:t>
            </w:r>
          </w:p>
        </w:tc>
        <w:tc>
          <w:tcPr>
            <w:tcW w:w="1857" w:type="dxa"/>
            <w:vAlign w:val="center"/>
          </w:tcPr>
          <w:p w14:paraId="244FBB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bCs/>
                <w:sz w:val="32"/>
                <w:szCs w:val="32"/>
              </w:rPr>
            </w:pPr>
            <w:r>
              <w:rPr>
                <w:rFonts w:hint="eastAsia" w:ascii="Times New Roman" w:hAnsi="Times New Roman" w:eastAsia="仿宋_GB2312" w:cs="仿宋_GB2312"/>
                <w:color w:val="000000"/>
                <w:sz w:val="28"/>
                <w:szCs w:val="28"/>
              </w:rPr>
              <w:t>C</w:t>
            </w:r>
          </w:p>
        </w:tc>
        <w:tc>
          <w:tcPr>
            <w:tcW w:w="3252" w:type="dxa"/>
            <w:vMerge w:val="restart"/>
          </w:tcPr>
          <w:p w14:paraId="6465E76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223.5—2008</w:t>
            </w:r>
          </w:p>
          <w:p w14:paraId="6D6285E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223.59—2008</w:t>
            </w:r>
          </w:p>
          <w:p w14:paraId="29D3398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223.63—2022</w:t>
            </w:r>
          </w:p>
          <w:p w14:paraId="6138EBD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223.85—2009</w:t>
            </w:r>
          </w:p>
          <w:p w14:paraId="7AB63FF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223.86—2009</w:t>
            </w:r>
          </w:p>
          <w:p w14:paraId="019046A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4336—2016</w:t>
            </w:r>
          </w:p>
          <w:p w14:paraId="5BDAEAF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GB/T 20123—2006</w:t>
            </w:r>
          </w:p>
          <w:p w14:paraId="2FDA3D2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仿宋_GB2312" w:hAnsi="方正仿宋_GB2312" w:eastAsia="方正仿宋_GB2312" w:cs="方正仿宋_GB2312"/>
                <w:sz w:val="32"/>
                <w:szCs w:val="32"/>
                <w:vertAlign w:val="baseline"/>
                <w:lang w:val="en-US" w:eastAsia="zh-CN"/>
              </w:rPr>
            </w:pPr>
            <w:r>
              <w:rPr>
                <w:rFonts w:hint="eastAsia" w:ascii="Times New Roman" w:hAnsi="Times New Roman" w:eastAsia="仿宋_GB2312" w:cs="仿宋_GB2312"/>
                <w:color w:val="000000"/>
                <w:sz w:val="28"/>
                <w:szCs w:val="28"/>
              </w:rPr>
              <w:t>GB/T 20125—2006</w:t>
            </w:r>
          </w:p>
        </w:tc>
      </w:tr>
      <w:tr w14:paraId="5EC6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609" w:type="dxa"/>
            <w:vMerge w:val="continue"/>
            <w:vAlign w:val="center"/>
          </w:tcPr>
          <w:p w14:paraId="061FEA92">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28"/>
                <w:szCs w:val="28"/>
              </w:rPr>
            </w:pPr>
          </w:p>
        </w:tc>
        <w:tc>
          <w:tcPr>
            <w:tcW w:w="1857" w:type="dxa"/>
            <w:vMerge w:val="continue"/>
            <w:vAlign w:val="center"/>
          </w:tcPr>
          <w:p w14:paraId="73F187A2">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bCs/>
                <w:sz w:val="32"/>
                <w:szCs w:val="32"/>
              </w:rPr>
            </w:pPr>
          </w:p>
        </w:tc>
        <w:tc>
          <w:tcPr>
            <w:tcW w:w="1857" w:type="dxa"/>
            <w:vAlign w:val="center"/>
          </w:tcPr>
          <w:p w14:paraId="33ADBB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bCs/>
                <w:sz w:val="32"/>
                <w:szCs w:val="32"/>
              </w:rPr>
            </w:pPr>
            <w:r>
              <w:rPr>
                <w:rFonts w:hint="eastAsia" w:ascii="Times New Roman" w:hAnsi="Times New Roman" w:eastAsia="仿宋_GB2312" w:cs="仿宋_GB2312"/>
                <w:color w:val="000000"/>
                <w:sz w:val="28"/>
                <w:szCs w:val="28"/>
              </w:rPr>
              <w:t>Si</w:t>
            </w:r>
          </w:p>
        </w:tc>
        <w:tc>
          <w:tcPr>
            <w:tcW w:w="3252" w:type="dxa"/>
            <w:vMerge w:val="continue"/>
          </w:tcPr>
          <w:p w14:paraId="76A99389">
            <w:pPr>
              <w:keepNext w:val="0"/>
              <w:keepLines w:val="0"/>
              <w:pageBreakBefore w:val="0"/>
              <w:widowControl w:val="0"/>
              <w:numPr>
                <w:ilvl w:val="0"/>
                <w:numId w:val="0"/>
              </w:numPr>
              <w:kinsoku/>
              <w:wordWrap/>
              <w:overflowPunct/>
              <w:topLinePunct w:val="0"/>
              <w:autoSpaceDE/>
              <w:autoSpaceDN/>
              <w:bidi w:val="0"/>
              <w:spacing w:line="240" w:lineRule="auto"/>
              <w:textAlignment w:val="auto"/>
              <w:outlineLvl w:val="9"/>
              <w:rPr>
                <w:rFonts w:hint="eastAsia" w:ascii="方正仿宋_GB2312" w:hAnsi="方正仿宋_GB2312" w:eastAsia="方正仿宋_GB2312" w:cs="方正仿宋_GB2312"/>
                <w:sz w:val="32"/>
                <w:szCs w:val="32"/>
                <w:vertAlign w:val="baseline"/>
                <w:lang w:val="en-US" w:eastAsia="zh-CN"/>
              </w:rPr>
            </w:pPr>
          </w:p>
        </w:tc>
      </w:tr>
      <w:tr w14:paraId="1CD8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609" w:type="dxa"/>
            <w:vMerge w:val="continue"/>
            <w:vAlign w:val="center"/>
          </w:tcPr>
          <w:p w14:paraId="13E9075D">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28"/>
                <w:szCs w:val="28"/>
              </w:rPr>
            </w:pPr>
          </w:p>
        </w:tc>
        <w:tc>
          <w:tcPr>
            <w:tcW w:w="1857" w:type="dxa"/>
            <w:vMerge w:val="continue"/>
            <w:vAlign w:val="center"/>
          </w:tcPr>
          <w:p w14:paraId="2C13DD74">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bCs/>
                <w:sz w:val="32"/>
                <w:szCs w:val="32"/>
              </w:rPr>
            </w:pPr>
          </w:p>
        </w:tc>
        <w:tc>
          <w:tcPr>
            <w:tcW w:w="1857" w:type="dxa"/>
            <w:vAlign w:val="center"/>
          </w:tcPr>
          <w:p w14:paraId="7BEC68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bCs/>
                <w:sz w:val="32"/>
                <w:szCs w:val="32"/>
              </w:rPr>
            </w:pPr>
            <w:r>
              <w:rPr>
                <w:rFonts w:hint="eastAsia" w:ascii="Times New Roman" w:hAnsi="Times New Roman" w:eastAsia="仿宋_GB2312" w:cs="仿宋_GB2312"/>
                <w:color w:val="000000"/>
                <w:sz w:val="28"/>
                <w:szCs w:val="28"/>
              </w:rPr>
              <w:t>Mn</w:t>
            </w:r>
          </w:p>
        </w:tc>
        <w:tc>
          <w:tcPr>
            <w:tcW w:w="3252" w:type="dxa"/>
            <w:vMerge w:val="continue"/>
          </w:tcPr>
          <w:p w14:paraId="08474FA1">
            <w:pPr>
              <w:keepNext w:val="0"/>
              <w:keepLines w:val="0"/>
              <w:pageBreakBefore w:val="0"/>
              <w:widowControl w:val="0"/>
              <w:numPr>
                <w:ilvl w:val="0"/>
                <w:numId w:val="0"/>
              </w:numPr>
              <w:kinsoku/>
              <w:wordWrap/>
              <w:overflowPunct/>
              <w:topLinePunct w:val="0"/>
              <w:autoSpaceDE/>
              <w:autoSpaceDN/>
              <w:bidi w:val="0"/>
              <w:spacing w:line="240" w:lineRule="auto"/>
              <w:textAlignment w:val="auto"/>
              <w:outlineLvl w:val="9"/>
              <w:rPr>
                <w:rFonts w:hint="eastAsia" w:ascii="方正仿宋_GB2312" w:hAnsi="方正仿宋_GB2312" w:eastAsia="方正仿宋_GB2312" w:cs="方正仿宋_GB2312"/>
                <w:sz w:val="32"/>
                <w:szCs w:val="32"/>
                <w:vertAlign w:val="baseline"/>
                <w:lang w:val="en-US" w:eastAsia="zh-CN"/>
              </w:rPr>
            </w:pPr>
          </w:p>
        </w:tc>
      </w:tr>
      <w:tr w14:paraId="5D8B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609" w:type="dxa"/>
            <w:vMerge w:val="continue"/>
            <w:vAlign w:val="center"/>
          </w:tcPr>
          <w:p w14:paraId="0F9EC50E">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28"/>
                <w:szCs w:val="28"/>
              </w:rPr>
            </w:pPr>
          </w:p>
        </w:tc>
        <w:tc>
          <w:tcPr>
            <w:tcW w:w="1857" w:type="dxa"/>
            <w:vMerge w:val="continue"/>
            <w:vAlign w:val="center"/>
          </w:tcPr>
          <w:p w14:paraId="36D5445C">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bCs/>
                <w:sz w:val="32"/>
                <w:szCs w:val="32"/>
              </w:rPr>
            </w:pPr>
          </w:p>
        </w:tc>
        <w:tc>
          <w:tcPr>
            <w:tcW w:w="1857" w:type="dxa"/>
            <w:vAlign w:val="center"/>
          </w:tcPr>
          <w:p w14:paraId="14C286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bCs/>
                <w:sz w:val="32"/>
                <w:szCs w:val="32"/>
              </w:rPr>
            </w:pPr>
            <w:r>
              <w:rPr>
                <w:rFonts w:hint="eastAsia" w:ascii="Times New Roman" w:hAnsi="Times New Roman" w:eastAsia="仿宋_GB2312" w:cs="仿宋_GB2312"/>
                <w:color w:val="000000"/>
                <w:sz w:val="28"/>
                <w:szCs w:val="28"/>
              </w:rPr>
              <w:t>P</w:t>
            </w:r>
          </w:p>
        </w:tc>
        <w:tc>
          <w:tcPr>
            <w:tcW w:w="3252" w:type="dxa"/>
            <w:vMerge w:val="continue"/>
          </w:tcPr>
          <w:p w14:paraId="31293089">
            <w:pPr>
              <w:keepNext w:val="0"/>
              <w:keepLines w:val="0"/>
              <w:pageBreakBefore w:val="0"/>
              <w:widowControl w:val="0"/>
              <w:numPr>
                <w:ilvl w:val="0"/>
                <w:numId w:val="0"/>
              </w:numPr>
              <w:kinsoku/>
              <w:wordWrap/>
              <w:overflowPunct/>
              <w:topLinePunct w:val="0"/>
              <w:autoSpaceDE/>
              <w:autoSpaceDN/>
              <w:bidi w:val="0"/>
              <w:spacing w:line="240" w:lineRule="auto"/>
              <w:textAlignment w:val="auto"/>
              <w:outlineLvl w:val="9"/>
              <w:rPr>
                <w:rFonts w:hint="eastAsia" w:ascii="方正仿宋_GB2312" w:hAnsi="方正仿宋_GB2312" w:eastAsia="方正仿宋_GB2312" w:cs="方正仿宋_GB2312"/>
                <w:sz w:val="32"/>
                <w:szCs w:val="32"/>
                <w:vertAlign w:val="baseline"/>
                <w:lang w:val="en-US" w:eastAsia="zh-CN"/>
              </w:rPr>
            </w:pPr>
          </w:p>
        </w:tc>
      </w:tr>
      <w:tr w14:paraId="7174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609" w:type="dxa"/>
            <w:vMerge w:val="continue"/>
            <w:vAlign w:val="center"/>
          </w:tcPr>
          <w:p w14:paraId="4D1D641C">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28"/>
                <w:szCs w:val="28"/>
              </w:rPr>
            </w:pPr>
          </w:p>
        </w:tc>
        <w:tc>
          <w:tcPr>
            <w:tcW w:w="1857" w:type="dxa"/>
            <w:vMerge w:val="continue"/>
            <w:vAlign w:val="center"/>
          </w:tcPr>
          <w:p w14:paraId="69B74F1B">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bCs/>
                <w:sz w:val="32"/>
                <w:szCs w:val="32"/>
              </w:rPr>
            </w:pPr>
          </w:p>
        </w:tc>
        <w:tc>
          <w:tcPr>
            <w:tcW w:w="1857" w:type="dxa"/>
            <w:vAlign w:val="center"/>
          </w:tcPr>
          <w:p w14:paraId="08E4A5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bCs/>
                <w:sz w:val="32"/>
                <w:szCs w:val="32"/>
              </w:rPr>
            </w:pPr>
            <w:r>
              <w:rPr>
                <w:rFonts w:hint="eastAsia" w:ascii="Times New Roman" w:hAnsi="Times New Roman" w:eastAsia="仿宋_GB2312" w:cs="仿宋_GB2312"/>
                <w:color w:val="000000"/>
                <w:sz w:val="28"/>
                <w:szCs w:val="28"/>
              </w:rPr>
              <w:t>S</w:t>
            </w:r>
          </w:p>
        </w:tc>
        <w:tc>
          <w:tcPr>
            <w:tcW w:w="3252" w:type="dxa"/>
            <w:vMerge w:val="continue"/>
          </w:tcPr>
          <w:p w14:paraId="7F217114">
            <w:pPr>
              <w:keepNext w:val="0"/>
              <w:keepLines w:val="0"/>
              <w:pageBreakBefore w:val="0"/>
              <w:widowControl w:val="0"/>
              <w:numPr>
                <w:ilvl w:val="0"/>
                <w:numId w:val="0"/>
              </w:numPr>
              <w:kinsoku/>
              <w:wordWrap/>
              <w:overflowPunct/>
              <w:topLinePunct w:val="0"/>
              <w:autoSpaceDE/>
              <w:autoSpaceDN/>
              <w:bidi w:val="0"/>
              <w:spacing w:line="240" w:lineRule="auto"/>
              <w:textAlignment w:val="auto"/>
              <w:outlineLvl w:val="9"/>
              <w:rPr>
                <w:rFonts w:hint="eastAsia" w:ascii="方正仿宋_GB2312" w:hAnsi="方正仿宋_GB2312" w:eastAsia="方正仿宋_GB2312" w:cs="方正仿宋_GB2312"/>
                <w:sz w:val="32"/>
                <w:szCs w:val="32"/>
                <w:vertAlign w:val="baseline"/>
                <w:lang w:val="en-US" w:eastAsia="zh-CN"/>
              </w:rPr>
            </w:pPr>
          </w:p>
        </w:tc>
      </w:tr>
      <w:tr w14:paraId="29FC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1BD2AE25">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28"/>
                <w:szCs w:val="28"/>
                <w:lang w:val="en-US" w:eastAsia="zh-CN"/>
              </w:rPr>
              <w:t>7</w:t>
            </w:r>
          </w:p>
        </w:tc>
        <w:tc>
          <w:tcPr>
            <w:tcW w:w="3714" w:type="dxa"/>
            <w:gridSpan w:val="2"/>
            <w:shd w:val="clear" w:color="auto" w:fill="auto"/>
            <w:vAlign w:val="center"/>
          </w:tcPr>
          <w:p w14:paraId="75F3DE24">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kern w:val="2"/>
                <w:sz w:val="32"/>
                <w:szCs w:val="32"/>
                <w:vertAlign w:val="baseline"/>
                <w:lang w:val="en-US" w:eastAsia="zh-CN" w:bidi="ar-SA"/>
              </w:rPr>
            </w:pPr>
            <w:r>
              <w:rPr>
                <w:rFonts w:hint="eastAsia" w:ascii="方正仿宋_GB2312" w:hAnsi="方正仿宋_GB2312" w:eastAsia="方正仿宋_GB2312" w:cs="方正仿宋_GB2312"/>
                <w:bCs/>
                <w:sz w:val="32"/>
                <w:szCs w:val="32"/>
              </w:rPr>
              <w:t>重量偏差</w:t>
            </w:r>
          </w:p>
        </w:tc>
        <w:tc>
          <w:tcPr>
            <w:tcW w:w="3252" w:type="dxa"/>
          </w:tcPr>
          <w:p w14:paraId="35F3264E">
            <w:pPr>
              <w:keepNext w:val="0"/>
              <w:keepLines w:val="0"/>
              <w:pageBreakBefore w:val="0"/>
              <w:widowControl w:val="0"/>
              <w:numPr>
                <w:ilvl w:val="0"/>
                <w:numId w:val="0"/>
              </w:numPr>
              <w:kinsoku/>
              <w:wordWrap/>
              <w:overflowPunct/>
              <w:topLinePunct w:val="0"/>
              <w:autoSpaceDE/>
              <w:autoSpaceDN/>
              <w:bidi w:val="0"/>
              <w:spacing w:line="240" w:lineRule="auto"/>
              <w:jc w:val="center"/>
              <w:textAlignment w:val="auto"/>
              <w:outlineLvl w:val="9"/>
              <w:rPr>
                <w:rFonts w:hint="eastAsia" w:ascii="方正仿宋_GB2312" w:hAnsi="方正仿宋_GB2312" w:eastAsia="方正仿宋_GB2312" w:cs="方正仿宋_GB2312"/>
                <w:sz w:val="32"/>
                <w:szCs w:val="32"/>
                <w:vertAlign w:val="baseline"/>
                <w:lang w:val="en-US" w:eastAsia="zh-CN"/>
              </w:rPr>
            </w:pPr>
            <w:r>
              <w:rPr>
                <w:rFonts w:hint="eastAsia" w:ascii="Times New Roman" w:hAnsi="Times New Roman" w:eastAsia="仿宋_GB2312" w:cs="仿宋_GB2312"/>
                <w:color w:val="000000"/>
                <w:sz w:val="28"/>
                <w:szCs w:val="28"/>
              </w:rPr>
              <w:t>GB 1499.1—20</w:t>
            </w:r>
            <w:r>
              <w:rPr>
                <w:rFonts w:hint="eastAsia" w:ascii="Times New Roman" w:hAnsi="Times New Roman" w:eastAsia="仿宋_GB2312" w:cs="仿宋_GB2312"/>
                <w:color w:val="000000"/>
                <w:sz w:val="28"/>
                <w:szCs w:val="28"/>
                <w:lang w:val="en-US" w:eastAsia="zh-CN"/>
              </w:rPr>
              <w:t>24</w:t>
            </w:r>
          </w:p>
        </w:tc>
      </w:tr>
      <w:tr w14:paraId="3425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9" w:type="dxa"/>
            <w:vAlign w:val="center"/>
          </w:tcPr>
          <w:p w14:paraId="04DEC1B3">
            <w:pPr>
              <w:keepNext w:val="0"/>
              <w:keepLines w:val="0"/>
              <w:pageBreakBefore w:val="0"/>
              <w:widowControl w:val="0"/>
              <w:kinsoku/>
              <w:wordWrap/>
              <w:overflowPunct/>
              <w:topLinePunct w:val="0"/>
              <w:autoSpaceDE/>
              <w:bidi w:val="0"/>
              <w:snapToGrid w:val="0"/>
              <w:spacing w:line="240" w:lineRule="auto"/>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8</w:t>
            </w:r>
          </w:p>
        </w:tc>
        <w:tc>
          <w:tcPr>
            <w:tcW w:w="3714" w:type="dxa"/>
            <w:gridSpan w:val="2"/>
            <w:shd w:val="clear" w:color="auto" w:fill="auto"/>
            <w:vAlign w:val="center"/>
          </w:tcPr>
          <w:p w14:paraId="646CAA00">
            <w:pPr>
              <w:keepNext w:val="0"/>
              <w:keepLines w:val="0"/>
              <w:pageBreakBefore w:val="0"/>
              <w:widowControl w:val="0"/>
              <w:kinsoku/>
              <w:wordWrap/>
              <w:overflowPunct/>
              <w:topLinePunct w:val="0"/>
              <w:autoSpaceDE/>
              <w:bidi w:val="0"/>
              <w:snapToGrid w:val="0"/>
              <w:spacing w:line="240" w:lineRule="auto"/>
              <w:jc w:val="center"/>
              <w:rPr>
                <w:rFonts w:hint="eastAsia" w:ascii="方正仿宋_GB2312" w:hAnsi="方正仿宋_GB2312" w:eastAsia="方正仿宋_GB2312" w:cs="方正仿宋_GB2312"/>
                <w:kern w:val="2"/>
                <w:sz w:val="32"/>
                <w:szCs w:val="32"/>
                <w:vertAlign w:val="baseline"/>
                <w:lang w:val="en-US" w:eastAsia="zh-CN" w:bidi="ar-SA"/>
              </w:rPr>
            </w:pPr>
            <w:r>
              <w:rPr>
                <w:rFonts w:hint="eastAsia" w:ascii="方正仿宋_GB2312" w:hAnsi="方正仿宋_GB2312" w:eastAsia="方正仿宋_GB2312" w:cs="方正仿宋_GB2312"/>
                <w:bCs/>
                <w:sz w:val="32"/>
                <w:szCs w:val="32"/>
              </w:rPr>
              <w:t>表面质量</w:t>
            </w:r>
          </w:p>
        </w:tc>
        <w:tc>
          <w:tcPr>
            <w:tcW w:w="3252" w:type="dxa"/>
          </w:tcPr>
          <w:p w14:paraId="2EBD09AE">
            <w:pPr>
              <w:keepNext w:val="0"/>
              <w:keepLines w:val="0"/>
              <w:pageBreakBefore w:val="0"/>
              <w:widowControl w:val="0"/>
              <w:numPr>
                <w:ilvl w:val="0"/>
                <w:numId w:val="0"/>
              </w:numPr>
              <w:kinsoku/>
              <w:wordWrap/>
              <w:overflowPunct/>
              <w:topLinePunct w:val="0"/>
              <w:autoSpaceDE/>
              <w:autoSpaceDN/>
              <w:bidi w:val="0"/>
              <w:spacing w:line="240" w:lineRule="auto"/>
              <w:jc w:val="center"/>
              <w:textAlignment w:val="auto"/>
              <w:outlineLvl w:val="9"/>
              <w:rPr>
                <w:rFonts w:hint="eastAsia" w:ascii="方正仿宋_GB2312" w:hAnsi="方正仿宋_GB2312" w:eastAsia="方正仿宋_GB2312" w:cs="方正仿宋_GB2312"/>
                <w:sz w:val="32"/>
                <w:szCs w:val="32"/>
                <w:vertAlign w:val="baseline"/>
                <w:lang w:val="en-US" w:eastAsia="zh-CN"/>
              </w:rPr>
            </w:pPr>
            <w:r>
              <w:rPr>
                <w:rFonts w:hint="eastAsia" w:ascii="Times New Roman" w:hAnsi="Times New Roman" w:eastAsia="仿宋_GB2312" w:cs="仿宋_GB2312"/>
                <w:color w:val="000000"/>
                <w:sz w:val="28"/>
                <w:szCs w:val="28"/>
              </w:rPr>
              <w:t>GB 1499.1—20</w:t>
            </w:r>
            <w:r>
              <w:rPr>
                <w:rFonts w:hint="eastAsia" w:ascii="Times New Roman" w:hAnsi="Times New Roman" w:eastAsia="仿宋_GB2312" w:cs="仿宋_GB2312"/>
                <w:color w:val="000000"/>
                <w:sz w:val="28"/>
                <w:szCs w:val="28"/>
                <w:lang w:val="en-US" w:eastAsia="zh-CN"/>
              </w:rPr>
              <w:t>24</w:t>
            </w:r>
          </w:p>
        </w:tc>
      </w:tr>
    </w:tbl>
    <w:p w14:paraId="6F7FA5AC">
      <w:pPr>
        <w:keepNext w:val="0"/>
        <w:keepLines w:val="0"/>
        <w:pageBreakBefore w:val="0"/>
        <w:widowControl w:val="0"/>
        <w:kinsoku/>
        <w:wordWrap/>
        <w:overflowPunct/>
        <w:topLinePunct w:val="0"/>
        <w:autoSpaceDE/>
        <w:bidi w:val="0"/>
        <w:snapToGrid w:val="0"/>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注：执行企业标准、团体标准、地方标准的产品，检验项目参照上述内容执行。</w:t>
      </w:r>
    </w:p>
    <w:p w14:paraId="68D1410E">
      <w:pPr>
        <w:keepNext w:val="0"/>
        <w:keepLines w:val="0"/>
        <w:pageBreakBefore w:val="0"/>
        <w:widowControl w:val="0"/>
        <w:kinsoku/>
        <w:wordWrap/>
        <w:overflowPunct/>
        <w:topLinePunct w:val="0"/>
        <w:autoSpaceDE/>
        <w:bidi w:val="0"/>
        <w:snapToGrid w:val="0"/>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凡是注</w:t>
      </w:r>
      <w:r>
        <w:rPr>
          <w:rFonts w:hint="eastAsia" w:ascii="方正仿宋_GB2312" w:hAnsi="方正仿宋_GB2312" w:eastAsia="方正仿宋_GB2312" w:cs="方正仿宋_GB2312"/>
          <w:color w:val="000000"/>
          <w:sz w:val="32"/>
          <w:szCs w:val="32"/>
          <w:lang w:eastAsia="zh-CN"/>
        </w:rPr>
        <w:t>明</w:t>
      </w:r>
      <w:r>
        <w:rPr>
          <w:rFonts w:hint="eastAsia" w:ascii="方正仿宋_GB2312" w:hAnsi="方正仿宋_GB2312" w:eastAsia="方正仿宋_GB2312" w:cs="方正仿宋_GB2312"/>
          <w:color w:val="000000"/>
          <w:sz w:val="32"/>
          <w:szCs w:val="32"/>
        </w:rPr>
        <w:t>日期的文件，其随后所有的修改单（不包括勘误的内容）或修订版不适用于本细则。凡是不注</w:t>
      </w:r>
      <w:r>
        <w:rPr>
          <w:rFonts w:hint="eastAsia" w:ascii="方正仿宋_GB2312" w:hAnsi="方正仿宋_GB2312" w:eastAsia="方正仿宋_GB2312" w:cs="方正仿宋_GB2312"/>
          <w:color w:val="000000"/>
          <w:sz w:val="32"/>
          <w:szCs w:val="32"/>
          <w:lang w:eastAsia="zh-CN"/>
        </w:rPr>
        <w:t>明</w:t>
      </w:r>
      <w:r>
        <w:rPr>
          <w:rFonts w:hint="eastAsia" w:ascii="方正仿宋_GB2312" w:hAnsi="方正仿宋_GB2312" w:eastAsia="方正仿宋_GB2312" w:cs="方正仿宋_GB2312"/>
          <w:color w:val="000000"/>
          <w:sz w:val="32"/>
          <w:szCs w:val="32"/>
        </w:rPr>
        <w:t>日期的文件，其最新版本适用于本细则。</w:t>
      </w:r>
      <w:bookmarkStart w:id="0" w:name="_GoBack"/>
      <w:bookmarkEnd w:id="0"/>
    </w:p>
    <w:p w14:paraId="3B263F80">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三、判定规则</w:t>
      </w:r>
    </w:p>
    <w:p w14:paraId="53D282DF">
      <w:pPr>
        <w:keepNext w:val="0"/>
        <w:keepLines w:val="0"/>
        <w:pageBreakBefore w:val="0"/>
        <w:widowControl w:val="0"/>
        <w:kinsoku/>
        <w:wordWrap/>
        <w:overflowPunct/>
        <w:topLinePunct w:val="0"/>
        <w:autoSpaceDE/>
        <w:bidi w:val="0"/>
        <w:snapToGrid w:val="0"/>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（一）依据标准</w:t>
      </w:r>
    </w:p>
    <w:p w14:paraId="41BCAEB7">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GB</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1499.1</w:t>
      </w:r>
      <w:r>
        <w:rPr>
          <w:rFonts w:hint="eastAsia" w:ascii="方正仿宋_GB2312" w:hAnsi="方正仿宋_GB2312" w:eastAsia="方正仿宋_GB2312" w:cs="方正仿宋_GB2312"/>
          <w:sz w:val="32"/>
          <w:szCs w:val="32"/>
          <w:lang w:val="en-US" w:eastAsia="zh-CN"/>
        </w:rPr>
        <w:t>-2024</w:t>
      </w:r>
      <w:r>
        <w:rPr>
          <w:rFonts w:hint="eastAsia" w:ascii="方正仿宋_GB2312" w:hAnsi="方正仿宋_GB2312" w:eastAsia="方正仿宋_GB2312" w:cs="方正仿宋_GB2312"/>
          <w:sz w:val="32"/>
          <w:szCs w:val="32"/>
        </w:rPr>
        <w:t xml:space="preserve"> 钢筋混凝土用钢 第1部分：热轧光圆钢筋</w:t>
      </w:r>
    </w:p>
    <w:p w14:paraId="415172EC">
      <w:pPr>
        <w:keepNext w:val="0"/>
        <w:keepLines w:val="0"/>
        <w:pageBreakBefore w:val="0"/>
        <w:widowControl w:val="0"/>
        <w:kinsoku/>
        <w:wordWrap/>
        <w:overflowPunct/>
        <w:topLinePunct w:val="0"/>
        <w:autoSpaceDE/>
        <w:bidi w:val="0"/>
        <w:adjustRightInd/>
        <w:snapToGrid w:val="0"/>
        <w:spacing w:line="24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GB 1499.2</w:t>
      </w:r>
      <w:r>
        <w:rPr>
          <w:rFonts w:hint="eastAsia" w:ascii="方正仿宋_GB2312" w:hAnsi="方正仿宋_GB2312" w:eastAsia="方正仿宋_GB2312" w:cs="方正仿宋_GB2312"/>
          <w:sz w:val="32"/>
          <w:szCs w:val="32"/>
          <w:lang w:val="en-US" w:eastAsia="zh-CN"/>
        </w:rPr>
        <w:t>-2024</w:t>
      </w:r>
      <w:r>
        <w:rPr>
          <w:rFonts w:hint="eastAsia" w:ascii="方正仿宋_GB2312" w:hAnsi="方正仿宋_GB2312" w:eastAsia="方正仿宋_GB2312" w:cs="方正仿宋_GB2312"/>
          <w:sz w:val="32"/>
          <w:szCs w:val="32"/>
        </w:rPr>
        <w:t xml:space="preserve"> 钢筋混凝土用钢 第2部分：热轧带肋钢筋</w:t>
      </w:r>
    </w:p>
    <w:p w14:paraId="557AA4FC">
      <w:pPr>
        <w:keepNext w:val="0"/>
        <w:keepLines w:val="0"/>
        <w:pageBreakBefore w:val="0"/>
        <w:widowControl w:val="0"/>
        <w:kinsoku/>
        <w:wordWrap/>
        <w:overflowPunct/>
        <w:topLinePunct w:val="0"/>
        <w:autoSpaceDE/>
        <w:bidi w:val="0"/>
        <w:snapToGrid w:val="0"/>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现行有效的企业标准、团体标准、地方标准及产品明示质量要求。</w:t>
      </w:r>
    </w:p>
    <w:p w14:paraId="6A027181">
      <w:pPr>
        <w:keepNext w:val="0"/>
        <w:keepLines w:val="0"/>
        <w:pageBreakBefore w:val="0"/>
        <w:widowControl w:val="0"/>
        <w:kinsoku/>
        <w:wordWrap/>
        <w:overflowPunct/>
        <w:topLinePunct w:val="0"/>
        <w:autoSpaceDE/>
        <w:bidi w:val="0"/>
        <w:snapToGrid w:val="0"/>
        <w:spacing w:line="240" w:lineRule="auto"/>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（二）判定原则</w:t>
      </w:r>
    </w:p>
    <w:p w14:paraId="585F0687">
      <w:pPr>
        <w:snapToGrid w:val="0"/>
        <w:spacing w:line="4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经检验，检验项目全部合格，判定为被抽查产品所检项目未发现不合格；检验项目中任一项或一项以上不合格，判定为被抽查产品不合格。</w:t>
      </w:r>
    </w:p>
    <w:p w14:paraId="27B3418A">
      <w:pPr>
        <w:snapToGrid w:val="0"/>
        <w:spacing w:line="4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若被检产品明示的质量要求高于本细则中检验项目依据的标准要求时，应按被检产品明示的质量要求判定。</w:t>
      </w:r>
    </w:p>
    <w:p w14:paraId="5E711C5B">
      <w:pPr>
        <w:snapToGrid w:val="0"/>
        <w:spacing w:line="4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若被检产品明示的质量要求低于本细则中检验项目依据的强制性标准要求时，应按照强制性标准要求判定。</w:t>
      </w:r>
    </w:p>
    <w:p w14:paraId="2F9A9B04">
      <w:pPr>
        <w:snapToGrid w:val="0"/>
        <w:spacing w:line="4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若被检产品明示的质量要求低于或包含本细则中检验项目依据的推荐性标准要求时，应以被检产品明示的质量要求判定。</w:t>
      </w:r>
    </w:p>
    <w:p w14:paraId="66DEAE15">
      <w:pPr>
        <w:snapToGrid w:val="0"/>
        <w:spacing w:line="4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若被检产品明示的质量要求缺少本细则中检验项目依据的强制性标准要求时，应按照强制性标准要求判定。</w:t>
      </w:r>
    </w:p>
    <w:p w14:paraId="5FED4DD8">
      <w:pPr>
        <w:snapToGrid w:val="0"/>
        <w:spacing w:line="440" w:lineRule="exact"/>
        <w:ind w:firstLine="640" w:firstLineChars="200"/>
        <w:rPr>
          <w:rFonts w:hint="eastAsia" w:ascii="仿宋_GB2312" w:hAnsi="仿宋_GB2312" w:eastAsia="仿宋_GB2312" w:cs="仿宋_GB2312"/>
        </w:rPr>
      </w:pPr>
      <w:r>
        <w:rPr>
          <w:rFonts w:hint="eastAsia" w:ascii="方正仿宋_GB2312" w:hAnsi="方正仿宋_GB2312" w:eastAsia="方正仿宋_GB2312" w:cs="方正仿宋_GB2312"/>
          <w:sz w:val="32"/>
          <w:szCs w:val="32"/>
        </w:rPr>
        <w:t>若被检产品明示的质量要求缺少本细则中检验项目依据的推荐性标准要求时，该项目不参与判定。</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28972451-FCEB-4F62-8C6A-61D3D1F7972D}"/>
  </w:font>
  <w:font w:name="方正小标宋简体">
    <w:panose1 w:val="02000000000000000000"/>
    <w:charset w:val="86"/>
    <w:family w:val="script"/>
    <w:pitch w:val="default"/>
    <w:sig w:usb0="A00002BF" w:usb1="184F6CFA" w:usb2="00000012" w:usb3="00000000" w:csb0="00040001" w:csb1="00000000"/>
    <w:embedRegular r:id="rId2" w:fontKey="{DEFF27D6-1E1C-4BF3-B93C-E85E5191DE1D}"/>
  </w:font>
  <w:font w:name="方正仿宋_GB2312">
    <w:panose1 w:val="02000000000000000000"/>
    <w:charset w:val="86"/>
    <w:family w:val="auto"/>
    <w:pitch w:val="default"/>
    <w:sig w:usb0="A00002BF" w:usb1="184F6CFA" w:usb2="00000012" w:usb3="00000000" w:csb0="00040001" w:csb1="00000000"/>
    <w:embedRegular r:id="rId3" w:fontKey="{A722A8BC-5C07-45D9-95AC-AF7037CC3E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5BCC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17E0EF">
                          <w:pPr>
                            <w:pStyle w:val="5"/>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17E0EF">
                    <w:pPr>
                      <w:pStyle w:val="5"/>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jU4MDcyMDVmMTlhMTNkN2UzOGFjZWNiZjIwYWQifQ=="/>
  </w:docVars>
  <w:rsids>
    <w:rsidRoot w:val="00FA122C"/>
    <w:rsid w:val="00092474"/>
    <w:rsid w:val="00381DA8"/>
    <w:rsid w:val="003B6A09"/>
    <w:rsid w:val="004017B7"/>
    <w:rsid w:val="00677471"/>
    <w:rsid w:val="00A11EB0"/>
    <w:rsid w:val="00CC2AE2"/>
    <w:rsid w:val="00DC1206"/>
    <w:rsid w:val="00DF64CE"/>
    <w:rsid w:val="00EA3AF9"/>
    <w:rsid w:val="00FA122C"/>
    <w:rsid w:val="01537940"/>
    <w:rsid w:val="021358C1"/>
    <w:rsid w:val="03520E46"/>
    <w:rsid w:val="07F71DFB"/>
    <w:rsid w:val="08731931"/>
    <w:rsid w:val="0B6C0305"/>
    <w:rsid w:val="1218500E"/>
    <w:rsid w:val="186B2B9A"/>
    <w:rsid w:val="22B54A03"/>
    <w:rsid w:val="24A34751"/>
    <w:rsid w:val="282C019E"/>
    <w:rsid w:val="288F6410"/>
    <w:rsid w:val="2A6F49F5"/>
    <w:rsid w:val="2CEA0E1E"/>
    <w:rsid w:val="2DFA1297"/>
    <w:rsid w:val="339B107F"/>
    <w:rsid w:val="35C132BF"/>
    <w:rsid w:val="365A285D"/>
    <w:rsid w:val="38A256E7"/>
    <w:rsid w:val="3C315A4B"/>
    <w:rsid w:val="3C6D13A1"/>
    <w:rsid w:val="407A001C"/>
    <w:rsid w:val="46B303F3"/>
    <w:rsid w:val="4ADC62C2"/>
    <w:rsid w:val="4BF85790"/>
    <w:rsid w:val="4C1179C0"/>
    <w:rsid w:val="522D26A6"/>
    <w:rsid w:val="55BE419C"/>
    <w:rsid w:val="562F2BA3"/>
    <w:rsid w:val="56EF7207"/>
    <w:rsid w:val="590233BD"/>
    <w:rsid w:val="5B2F5C7D"/>
    <w:rsid w:val="5FD575A3"/>
    <w:rsid w:val="607D6EEC"/>
    <w:rsid w:val="61104296"/>
    <w:rsid w:val="612A5E5D"/>
    <w:rsid w:val="68B43624"/>
    <w:rsid w:val="69DC0302"/>
    <w:rsid w:val="6A9C0E67"/>
    <w:rsid w:val="6B5D0E12"/>
    <w:rsid w:val="6E0818B5"/>
    <w:rsid w:val="6EEE5A3B"/>
    <w:rsid w:val="6F5FAE2A"/>
    <w:rsid w:val="702B55B7"/>
    <w:rsid w:val="7906664A"/>
    <w:rsid w:val="7A5A73C0"/>
    <w:rsid w:val="7B6315DB"/>
    <w:rsid w:val="EFD738F4"/>
    <w:rsid w:val="F5FFCB8E"/>
    <w:rsid w:val="F6432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9"/>
    <w:pPr>
      <w:jc w:val="center"/>
      <w:outlineLvl w:val="0"/>
    </w:pPr>
    <w:rPr>
      <w:rFonts w:ascii="方正小标宋简体" w:eastAsia="方正小标宋简体"/>
      <w:kern w:val="44"/>
      <w:sz w:val="3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pPr>
      <w:widowControl w:val="0"/>
      <w:jc w:val="both"/>
    </w:pPr>
    <w:rPr>
      <w:rFonts w:ascii="宋体" w:hAnsi="Courier New" w:eastAsia="宋体" w:cs="Times New Roman"/>
      <w:kern w:val="2"/>
      <w:sz w:val="32"/>
      <w:szCs w:val="21"/>
      <w:lang w:val="en-US" w:eastAsia="zh-CN" w:bidi="ar-SA"/>
    </w:rPr>
  </w:style>
  <w:style w:type="paragraph" w:styleId="4">
    <w:name w:val="Normal Indent"/>
    <w:basedOn w:val="1"/>
    <w:qFormat/>
    <w:uiPriority w:val="0"/>
    <w:pPr>
      <w:ind w:left="720"/>
    </w:pPr>
  </w:style>
  <w:style w:type="paragraph" w:styleId="5">
    <w:name w:val="footer"/>
    <w:basedOn w:val="1"/>
    <w:link w:val="10"/>
    <w:qFormat/>
    <w:uiPriority w:val="0"/>
    <w:pPr>
      <w:tabs>
        <w:tab w:val="center" w:pos="4153"/>
        <w:tab w:val="right" w:pos="8306"/>
      </w:tabs>
      <w:snapToGrid w:val="0"/>
      <w:jc w:val="left"/>
    </w:pPr>
    <w:rPr>
      <w:sz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脚 Char"/>
    <w:basedOn w:val="9"/>
    <w:link w:val="5"/>
    <w:qFormat/>
    <w:uiPriority w:val="0"/>
    <w:rPr>
      <w:rFonts w:ascii="Times New Roman" w:hAnsi="Times New Roman" w:eastAsia="仿宋_GB2312" w:cs="Times New Roman"/>
      <w:sz w:val="18"/>
      <w:szCs w:val="24"/>
    </w:rPr>
  </w:style>
  <w:style w:type="paragraph" w:customStyle="1" w:styleId="11">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kern w:val="2"/>
      <w:sz w:val="21"/>
      <w:szCs w:val="22"/>
      <w:lang w:val="en-US" w:eastAsia="zh-CN" w:bidi="ar-SA"/>
    </w:rPr>
  </w:style>
  <w:style w:type="paragraph" w:customStyle="1" w:styleId="12">
    <w:name w:val="一级条标题"/>
    <w:next w:val="11"/>
    <w:qFormat/>
    <w:uiPriority w:val="0"/>
    <w:pPr>
      <w:spacing w:beforeLines="50" w:afterLines="50"/>
      <w:ind w:left="716"/>
      <w:outlineLvl w:val="2"/>
    </w:pPr>
    <w:rPr>
      <w:rFonts w:ascii="黑体" w:hAnsi="Calibri" w:eastAsia="黑体" w:cs="Times New Roman"/>
      <w:kern w:val="0"/>
      <w:sz w:val="21"/>
      <w:szCs w:val="21"/>
      <w:lang w:val="en-US" w:eastAsia="zh-CN" w:bidi="ar-SA"/>
    </w:rPr>
  </w:style>
  <w:style w:type="paragraph" w:customStyle="1" w:styleId="13">
    <w:name w:val="二级条标题"/>
    <w:basedOn w:val="12"/>
    <w:next w:val="11"/>
    <w:qFormat/>
    <w:uiPriority w:val="0"/>
    <w:pPr>
      <w:spacing w:before="50" w:after="50"/>
      <w:outlineLvl w:val="3"/>
    </w:pPr>
  </w:style>
  <w:style w:type="paragraph" w:customStyle="1" w:styleId="14">
    <w:name w:val="列出段落2"/>
    <w:basedOn w:val="1"/>
    <w:unhideWhenUsed/>
    <w:qFormat/>
    <w:uiPriority w:val="99"/>
    <w:pPr>
      <w:ind w:firstLine="420" w:firstLineChars="200"/>
    </w:pPr>
    <w:rPr>
      <w:sz w:val="30"/>
    </w:rPr>
  </w:style>
  <w:style w:type="paragraph" w:customStyle="1" w:styleId="15">
    <w:name w:val="Table Paragraph"/>
    <w:basedOn w:val="1"/>
    <w:qFormat/>
    <w:uiPriority w:val="0"/>
    <w:pPr>
      <w:jc w:val="left"/>
    </w:pPr>
    <w:rPr>
      <w:rFonts w:ascii="Calibri" w:hAnsi="Calibri"/>
      <w:kern w:val="0"/>
      <w:sz w:val="22"/>
      <w:szCs w:val="22"/>
      <w:lang w:eastAsia="en-US"/>
    </w:rPr>
  </w:style>
  <w:style w:type="character" w:customStyle="1" w:styleId="16">
    <w:name w:val="页眉 Char"/>
    <w:basedOn w:val="9"/>
    <w:link w:val="6"/>
    <w:qFormat/>
    <w:uiPriority w:val="0"/>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fac53aa9-b400-4841-b309-9d6dc15e1851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4FD7FC98</paraID>
      <start>0</start>
      <end>2</end>
      <status>modified</status>
      <modifiedWord>1.</modifiedWord>
      <trackRevisions>false</trackRevisions>
    </reviewItem>
    <reviewItem>
      <errorID>c8403bb2-0da3-43ce-9f88-f0c814026a3e</errorID>
      <errorWord>,</errorWord>
      <group>L1_Format</group>
      <groupName>格式问题</groupName>
      <ability>L2_HalfPunc_CN</ability>
      <abilityName>全半角问题</abilityName>
      <candidateList>
        <item>，</item>
      </candidateList>
      <explain>文本全半角错误。</explain>
      <paraID>19B3706A</paraID>
      <start>56</start>
      <end>57</end>
      <status>modified</status>
      <modifiedWord>，</modifiedWord>
      <trackRevisions>false</trackRevisions>
    </reviewItem>
    <reviewItem>
      <errorID>89520460-a3ec-40ca-98db-0661fe224897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2B59BB1A</paraID>
      <start>0</start>
      <end>2</end>
      <status>modified</status>
      <modifiedWord>2.</modifiedWord>
      <trackRevisions>false</trackRevisions>
    </reviewItem>
    <reviewItem>
      <errorID>da7d0e77-cfd0-4ae5-a988-16a82f6998d0</errorID>
      <errorWord>分成出</errorWord>
      <group>L1_Word</group>
      <groupName>字词问题</groupName>
      <ability>L2_Typo</ability>
      <abilityName>字词错误</abilityName>
      <candidateList>
        <item>分成</item>
      </candidateList>
      <explain/>
      <paraID>33543E05</paraID>
      <start>59</start>
      <end>62</end>
      <status>ignored</status>
      <modifiedWord/>
      <trackRevisions>false</trackRevisions>
    </reviewItem>
    <reviewItem>
      <errorID>10fc00af-262e-4f33-8279-99c8346474a0</errorID>
      <errorWord>,</errorWord>
      <group>L1_Format</group>
      <groupName>格式问题</groupName>
      <ability>L2_HalfPunc_CN</ability>
      <abilityName>全半角问题</abilityName>
      <candidateList>
        <item>，</item>
      </candidateList>
      <explain>文本全半角错误。</explain>
      <paraID>33543E05</paraID>
      <start>76</start>
      <end>77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a47921-251b-4595-8226-35baf04bffe6}">
  <ds:schemaRefs/>
</ds:datastoreItem>
</file>

<file path=docProps/app.xml><?xml version="1.0" encoding="utf-8"?>
<Properties xmlns="http://schemas.openxmlformats.org/officeDocument/2006/extended-properties" xmlns:vt="http://schemas.openxmlformats.org/officeDocument/2006/docPropsVTypes">
  <Template>Normal</Template>
  <Pages>4</Pages>
  <Words>1777</Words>
  <Characters>2197</Characters>
  <Lines>23</Lines>
  <Paragraphs>6</Paragraphs>
  <TotalTime>43</TotalTime>
  <ScaleCrop>false</ScaleCrop>
  <LinksUpToDate>false</LinksUpToDate>
  <CharactersWithSpaces>2244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2020-07-23T09:55:00Z</dcterms:created>
  <dc:creator>zyw</dc:creator>
  <cp:lastModifiedBy>邓雨文</cp:lastModifiedBy>
  <cp:lastPrinted>2026-04-15T11:02:00Z</cp:lastPrinted>
  <dcterms:modified xsi:type="dcterms:W3CDTF">2026-09-15T02:26:45Z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0E8352E2EEFD420498BEEEB0F8206C2A_13</vt:lpwstr>
  </property>
  <property fmtid="{D5CDD505-2E9C-101B-9397-08002B2CF9AE}" pid="4" name="KSOTemplateDocerSaveRecord">
    <vt:lpwstr>eyJoZGlkIjoiMDE2ZTkyZTQyNTI0ODVjZGU0NDNlNTRkMTEzMmVkODEiLCJ1c2VySWQiOiI2MzY5NzAwMjQifQ==</vt:lpwstr>
  </property>
</Properties>
</file>