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823C3">
      <w:pPr>
        <w:jc w:val="both"/>
        <w:rPr>
          <w:rFonts w:hint="default" w:ascii="仿宋_GB2312" w:hAnsi="仿宋_GB2312" w:eastAsia="仿宋_GB2312" w:cs="仿宋_GB2312"/>
          <w:b w:val="0"/>
          <w:bCs w:val="0"/>
          <w:spacing w:val="-16"/>
          <w:sz w:val="32"/>
          <w:szCs w:val="32"/>
          <w:lang w:val="en-US" w:eastAsia="zh-CN"/>
        </w:rPr>
      </w:pPr>
      <w:r>
        <w:rPr>
          <w:rFonts w:hint="eastAsia" w:ascii="仿宋_GB2312" w:hAnsi="仿宋_GB2312" w:cs="仿宋_GB2312"/>
          <w:b w:val="0"/>
          <w:bCs w:val="0"/>
          <w:spacing w:val="-16"/>
          <w:sz w:val="32"/>
          <w:szCs w:val="32"/>
          <w:lang w:eastAsia="zh-CN"/>
        </w:rPr>
        <w:t>附件</w:t>
      </w:r>
      <w:r>
        <w:rPr>
          <w:rFonts w:hint="eastAsia" w:ascii="仿宋_GB2312" w:hAnsi="仿宋_GB2312" w:cs="仿宋_GB2312"/>
          <w:b w:val="0"/>
          <w:bCs w:val="0"/>
          <w:spacing w:val="-16"/>
          <w:sz w:val="32"/>
          <w:szCs w:val="32"/>
          <w:lang w:val="en-US" w:eastAsia="zh-CN"/>
        </w:rPr>
        <w:t>10</w:t>
      </w:r>
    </w:p>
    <w:p w14:paraId="5BC3DD93">
      <w:pPr>
        <w:jc w:val="center"/>
        <w:rPr>
          <w:rFonts w:hint="eastAsia" w:ascii="方正小标宋简体" w:hAnsi="方正小标宋简体" w:eastAsia="方正小标宋简体" w:cs="方正小标宋简体"/>
          <w:b w:val="0"/>
          <w:bCs w:val="0"/>
          <w:spacing w:val="-20"/>
          <w:sz w:val="44"/>
          <w:szCs w:val="44"/>
        </w:rPr>
      </w:pPr>
      <w:r>
        <w:rPr>
          <w:rFonts w:hint="eastAsia" w:ascii="方正小标宋简体" w:hAnsi="方正小标宋简体" w:eastAsia="方正小标宋简体" w:cs="方正小标宋简体"/>
          <w:b w:val="0"/>
          <w:bCs w:val="0"/>
          <w:spacing w:val="-16"/>
          <w:sz w:val="44"/>
          <w:szCs w:val="44"/>
          <w:lang w:eastAsia="zh-CN"/>
        </w:rPr>
        <w:t>陶瓷</w:t>
      </w:r>
      <w:r>
        <w:rPr>
          <w:rFonts w:hint="eastAsia" w:ascii="方正小标宋简体" w:hAnsi="方正小标宋简体" w:eastAsia="方正小标宋简体" w:cs="方正小标宋简体"/>
          <w:b w:val="0"/>
          <w:bCs w:val="0"/>
          <w:spacing w:val="-16"/>
          <w:sz w:val="44"/>
          <w:szCs w:val="44"/>
        </w:rPr>
        <w:t>砖产品</w:t>
      </w:r>
      <w:r>
        <w:rPr>
          <w:rFonts w:hint="eastAsia" w:ascii="方正小标宋简体" w:hAnsi="方正小标宋简体" w:eastAsia="方正小标宋简体" w:cs="方正小标宋简体"/>
          <w:b w:val="0"/>
          <w:bCs w:val="0"/>
          <w:spacing w:val="-20"/>
          <w:sz w:val="44"/>
          <w:szCs w:val="44"/>
        </w:rPr>
        <w:t>质量监督</w:t>
      </w:r>
      <w:r>
        <w:rPr>
          <w:rFonts w:hint="eastAsia" w:ascii="方正小标宋简体" w:hAnsi="方正小标宋简体" w:eastAsia="方正小标宋简体" w:cs="方正小标宋简体"/>
          <w:b w:val="0"/>
          <w:bCs w:val="0"/>
          <w:spacing w:val="-20"/>
          <w:sz w:val="44"/>
          <w:szCs w:val="44"/>
          <w:lang w:eastAsia="zh-CN"/>
        </w:rPr>
        <w:t>抽查实施</w:t>
      </w:r>
      <w:r>
        <w:rPr>
          <w:rFonts w:hint="eastAsia" w:ascii="方正小标宋简体" w:hAnsi="方正小标宋简体" w:eastAsia="方正小标宋简体" w:cs="方正小标宋简体"/>
          <w:b w:val="0"/>
          <w:bCs w:val="0"/>
          <w:spacing w:val="-20"/>
          <w:sz w:val="44"/>
          <w:szCs w:val="44"/>
        </w:rPr>
        <w:t>细则</w:t>
      </w:r>
    </w:p>
    <w:p w14:paraId="4425BBFE">
      <w:pPr>
        <w:jc w:val="center"/>
        <w:rPr>
          <w:rFonts w:eastAsia="方正小标宋简体" w:cs="方正小标宋简体"/>
          <w:sz w:val="44"/>
          <w:szCs w:val="44"/>
        </w:rPr>
      </w:pPr>
      <w:r>
        <w:rPr>
          <w:rFonts w:hint="eastAsia" w:ascii="方正小标宋简体" w:hAnsi="方正小标宋简体" w:eastAsia="方正小标宋简体" w:cs="方正小标宋简体"/>
          <w:b w:val="0"/>
          <w:bCs w:val="0"/>
          <w:spacing w:val="-20"/>
          <w:sz w:val="44"/>
          <w:szCs w:val="44"/>
          <w:lang w:eastAsia="zh-CN"/>
        </w:rPr>
        <w:t>（</w:t>
      </w:r>
      <w:r>
        <w:rPr>
          <w:rFonts w:hint="eastAsia" w:ascii="方正小标宋简体" w:hAnsi="方正小标宋简体" w:eastAsia="方正小标宋简体" w:cs="方正小标宋简体"/>
          <w:b w:val="0"/>
          <w:bCs w:val="0"/>
          <w:spacing w:val="-20"/>
          <w:sz w:val="44"/>
          <w:szCs w:val="44"/>
          <w:lang w:val="en-US" w:eastAsia="zh-CN"/>
        </w:rPr>
        <w:t>2026版</w:t>
      </w:r>
      <w:r>
        <w:rPr>
          <w:rFonts w:hint="eastAsia" w:ascii="方正小标宋简体" w:hAnsi="方正小标宋简体" w:eastAsia="方正小标宋简体" w:cs="方正小标宋简体"/>
          <w:b w:val="0"/>
          <w:bCs w:val="0"/>
          <w:spacing w:val="-20"/>
          <w:sz w:val="44"/>
          <w:szCs w:val="44"/>
          <w:lang w:eastAsia="zh-CN"/>
        </w:rPr>
        <w:t>）</w:t>
      </w:r>
    </w:p>
    <w:p w14:paraId="31F7C765">
      <w:pPr>
        <w:snapToGrid w:val="0"/>
        <w:spacing w:line="600" w:lineRule="exact"/>
        <w:ind w:firstLine="640"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sz w:val="32"/>
          <w:szCs w:val="32"/>
          <w:lang w:val="en-US" w:eastAsia="zh-CN"/>
        </w:rPr>
        <w:t>一、抽样方法</w:t>
      </w:r>
    </w:p>
    <w:p w14:paraId="009995E8">
      <w:pPr>
        <w:widowControl/>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以随机抽样的方式在被</w:t>
      </w:r>
      <w:r>
        <w:rPr>
          <w:rFonts w:hint="eastAsia" w:ascii="仿宋_GB2312" w:hAnsi="仿宋_GB2312" w:eastAsia="仿宋_GB2312" w:cs="仿宋_GB2312"/>
          <w:kern w:val="0"/>
          <w:sz w:val="32"/>
          <w:szCs w:val="32"/>
          <w:lang w:eastAsia="zh-CN"/>
        </w:rPr>
        <w:t>抽查市场主体</w:t>
      </w:r>
      <w:r>
        <w:rPr>
          <w:rFonts w:hint="eastAsia" w:ascii="仿宋_GB2312" w:hAnsi="仿宋_GB2312" w:eastAsia="仿宋_GB2312" w:cs="仿宋_GB2312"/>
          <w:kern w:val="0"/>
          <w:sz w:val="32"/>
          <w:szCs w:val="32"/>
        </w:rPr>
        <w:t>的待销产品中抽取</w:t>
      </w:r>
      <w:r>
        <w:rPr>
          <w:rFonts w:hint="eastAsia" w:ascii="仿宋_GB2312" w:hAnsi="仿宋_GB2312" w:cs="仿宋_GB2312"/>
          <w:kern w:val="0"/>
          <w:sz w:val="32"/>
          <w:szCs w:val="32"/>
          <w:lang w:eastAsia="zh-CN"/>
        </w:rPr>
        <w:t>样品</w:t>
      </w:r>
      <w:r>
        <w:rPr>
          <w:rFonts w:hint="eastAsia" w:ascii="仿宋_GB2312" w:hAnsi="仿宋_GB2312" w:eastAsia="仿宋_GB2312" w:cs="仿宋_GB2312"/>
          <w:kern w:val="0"/>
          <w:sz w:val="32"/>
          <w:szCs w:val="32"/>
        </w:rPr>
        <w:t>。</w:t>
      </w:r>
    </w:p>
    <w:p w14:paraId="75E2162E">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随机数一般可使用随机数表等方法产生。</w:t>
      </w:r>
    </w:p>
    <w:p w14:paraId="1E87553F">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每款产品抽取2组样本，第1组用于检验，第2组用于备样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备用样品封存于</w:t>
      </w:r>
      <w:r>
        <w:rPr>
          <w:rFonts w:hint="eastAsia" w:ascii="仿宋_GB2312" w:hAnsi="仿宋_GB2312" w:eastAsia="仿宋_GB2312" w:cs="仿宋_GB2312"/>
          <w:sz w:val="32"/>
          <w:szCs w:val="32"/>
          <w:lang w:eastAsia="zh-CN"/>
        </w:rPr>
        <w:t>被抽查</w:t>
      </w:r>
      <w:r>
        <w:rPr>
          <w:rFonts w:hint="eastAsia" w:ascii="仿宋_GB2312" w:hAnsi="仿宋_GB2312" w:eastAsia="仿宋_GB2312" w:cs="仿宋_GB2312"/>
          <w:sz w:val="32"/>
          <w:szCs w:val="32"/>
        </w:rPr>
        <w:t>单位。具体抽样数量</w:t>
      </w:r>
      <w:r>
        <w:rPr>
          <w:rFonts w:hint="eastAsia" w:ascii="仿宋_GB2312" w:hAnsi="仿宋_GB2312" w:eastAsia="仿宋_GB2312" w:cs="仿宋_GB2312"/>
          <w:sz w:val="32"/>
          <w:szCs w:val="32"/>
          <w:lang w:eastAsia="zh-CN"/>
        </w:rPr>
        <w:t>和方法</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规格产品对于边长小于600mm的砖，抽样数量为40块，其中检验样品为20块，20块作为备用样品。对于边长不小于600mm的砖（含600），抽样数量为24块，检</w:t>
      </w:r>
      <w:r>
        <w:rPr>
          <w:rFonts w:hint="eastAsia" w:ascii="仿宋_GB2312" w:hAnsi="仿宋_GB2312" w:eastAsia="仿宋_GB2312" w:cs="仿宋_GB2312"/>
          <w:sz w:val="32"/>
          <w:szCs w:val="32"/>
          <w:lang w:val="en-US" w:eastAsia="zh-CN"/>
        </w:rPr>
        <w:t>验样品为12块</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 xml:space="preserve">12块作为备用样品；备用样品封存于被抽查单位。 </w:t>
      </w:r>
    </w:p>
    <w:p w14:paraId="04790B64">
      <w:pPr>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二、检验依据</w:t>
      </w:r>
      <w:bookmarkStart w:id="0" w:name="_GoBack"/>
      <w:bookmarkEnd w:id="0"/>
    </w:p>
    <w:tbl>
      <w:tblPr>
        <w:tblStyle w:val="6"/>
        <w:tblW w:w="8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
        <w:gridCol w:w="4095"/>
        <w:gridCol w:w="3296"/>
      </w:tblGrid>
      <w:tr w14:paraId="60BFB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2C48EE39">
            <w:pPr>
              <w:snapToGrid w:val="0"/>
              <w:spacing w:line="6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4095" w:type="dxa"/>
            <w:tcBorders>
              <w:top w:val="single" w:color="auto" w:sz="4" w:space="0"/>
              <w:left w:val="single" w:color="auto" w:sz="4" w:space="0"/>
              <w:bottom w:val="single" w:color="auto" w:sz="4" w:space="0"/>
              <w:right w:val="single" w:color="auto" w:sz="4" w:space="0"/>
            </w:tcBorders>
            <w:noWrap w:val="0"/>
            <w:vAlign w:val="center"/>
          </w:tcPr>
          <w:p w14:paraId="490782FE">
            <w:pPr>
              <w:snapToGrid w:val="0"/>
              <w:spacing w:line="6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检验项目</w:t>
            </w:r>
          </w:p>
        </w:tc>
        <w:tc>
          <w:tcPr>
            <w:tcW w:w="3296" w:type="dxa"/>
            <w:tcBorders>
              <w:top w:val="single" w:color="auto" w:sz="4" w:space="0"/>
              <w:left w:val="single" w:color="auto" w:sz="4" w:space="0"/>
              <w:bottom w:val="single" w:color="auto" w:sz="4" w:space="0"/>
              <w:right w:val="single" w:color="auto" w:sz="4" w:space="0"/>
            </w:tcBorders>
            <w:noWrap w:val="0"/>
            <w:vAlign w:val="center"/>
          </w:tcPr>
          <w:p w14:paraId="46EBD1FF">
            <w:pPr>
              <w:snapToGrid w:val="0"/>
              <w:spacing w:line="6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检验方法</w:t>
            </w:r>
          </w:p>
        </w:tc>
      </w:tr>
      <w:tr w14:paraId="381C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25AA025A">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p>
        </w:tc>
        <w:tc>
          <w:tcPr>
            <w:tcW w:w="4095" w:type="dxa"/>
            <w:tcBorders>
              <w:top w:val="single" w:color="auto" w:sz="4" w:space="0"/>
              <w:left w:val="single" w:color="auto" w:sz="4" w:space="0"/>
              <w:bottom w:val="single" w:color="auto" w:sz="4" w:space="0"/>
              <w:right w:val="single" w:color="auto" w:sz="4" w:space="0"/>
            </w:tcBorders>
            <w:noWrap w:val="0"/>
            <w:vAlign w:val="center"/>
          </w:tcPr>
          <w:p w14:paraId="0429894B">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尺寸偏差</w:t>
            </w:r>
          </w:p>
        </w:tc>
        <w:tc>
          <w:tcPr>
            <w:tcW w:w="3296" w:type="dxa"/>
            <w:vMerge w:val="restart"/>
            <w:tcBorders>
              <w:top w:val="single" w:color="auto" w:sz="4" w:space="0"/>
              <w:left w:val="single" w:color="auto" w:sz="4" w:space="0"/>
              <w:right w:val="single" w:color="auto" w:sz="4" w:space="0"/>
            </w:tcBorders>
            <w:noWrap w:val="0"/>
            <w:vAlign w:val="center"/>
          </w:tcPr>
          <w:p w14:paraId="02C9AEF6">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GB/T 3810.2-2016</w:t>
            </w:r>
          </w:p>
        </w:tc>
      </w:tr>
      <w:tr w14:paraId="2B6D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186B3F91">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2</w:t>
            </w:r>
          </w:p>
        </w:tc>
        <w:tc>
          <w:tcPr>
            <w:tcW w:w="4095" w:type="dxa"/>
            <w:tcBorders>
              <w:top w:val="single" w:color="auto" w:sz="4" w:space="0"/>
              <w:left w:val="single" w:color="auto" w:sz="4" w:space="0"/>
              <w:bottom w:val="single" w:color="auto" w:sz="4" w:space="0"/>
              <w:right w:val="single" w:color="auto" w:sz="4" w:space="0"/>
            </w:tcBorders>
            <w:noWrap w:val="0"/>
            <w:vAlign w:val="center"/>
          </w:tcPr>
          <w:p w14:paraId="59176892">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边直度</w:t>
            </w:r>
          </w:p>
        </w:tc>
        <w:tc>
          <w:tcPr>
            <w:tcW w:w="3296" w:type="dxa"/>
            <w:vMerge w:val="continue"/>
            <w:tcBorders>
              <w:left w:val="single" w:color="auto" w:sz="4" w:space="0"/>
              <w:right w:val="single" w:color="auto" w:sz="4" w:space="0"/>
            </w:tcBorders>
            <w:noWrap w:val="0"/>
            <w:vAlign w:val="center"/>
          </w:tcPr>
          <w:p w14:paraId="19547BAB">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bCs/>
                <w:sz w:val="24"/>
                <w:szCs w:val="24"/>
              </w:rPr>
            </w:pPr>
          </w:p>
        </w:tc>
      </w:tr>
      <w:tr w14:paraId="3469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5AF498CA">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3</w:t>
            </w:r>
          </w:p>
        </w:tc>
        <w:tc>
          <w:tcPr>
            <w:tcW w:w="4095" w:type="dxa"/>
            <w:tcBorders>
              <w:top w:val="single" w:color="auto" w:sz="4" w:space="0"/>
              <w:left w:val="single" w:color="auto" w:sz="4" w:space="0"/>
              <w:bottom w:val="single" w:color="auto" w:sz="4" w:space="0"/>
              <w:right w:val="single" w:color="auto" w:sz="4" w:space="0"/>
            </w:tcBorders>
            <w:noWrap w:val="0"/>
            <w:vAlign w:val="center"/>
          </w:tcPr>
          <w:p w14:paraId="7532BEBA">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直角度</w:t>
            </w:r>
          </w:p>
        </w:tc>
        <w:tc>
          <w:tcPr>
            <w:tcW w:w="3296" w:type="dxa"/>
            <w:vMerge w:val="continue"/>
            <w:tcBorders>
              <w:left w:val="single" w:color="auto" w:sz="4" w:space="0"/>
              <w:right w:val="single" w:color="auto" w:sz="4" w:space="0"/>
            </w:tcBorders>
            <w:noWrap w:val="0"/>
            <w:vAlign w:val="center"/>
          </w:tcPr>
          <w:p w14:paraId="3EC5ECA4">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bCs/>
                <w:sz w:val="24"/>
                <w:szCs w:val="24"/>
              </w:rPr>
            </w:pPr>
          </w:p>
        </w:tc>
      </w:tr>
      <w:tr w14:paraId="7B5B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921CCC">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4</w:t>
            </w:r>
          </w:p>
        </w:tc>
        <w:tc>
          <w:tcPr>
            <w:tcW w:w="40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C7A345">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sz w:val="24"/>
                <w:szCs w:val="24"/>
              </w:rPr>
              <w:t>表面平整度</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600mm以下，100mm以上）</w:t>
            </w:r>
          </w:p>
        </w:tc>
        <w:tc>
          <w:tcPr>
            <w:tcW w:w="3296" w:type="dxa"/>
            <w:vMerge w:val="continue"/>
            <w:tcBorders>
              <w:left w:val="single" w:color="auto" w:sz="4" w:space="0"/>
              <w:right w:val="single" w:color="auto" w:sz="4" w:space="0"/>
            </w:tcBorders>
            <w:noWrap w:val="0"/>
            <w:vAlign w:val="center"/>
          </w:tcPr>
          <w:p w14:paraId="67893D62">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bCs/>
                <w:sz w:val="24"/>
                <w:szCs w:val="24"/>
              </w:rPr>
            </w:pPr>
          </w:p>
        </w:tc>
      </w:tr>
      <w:tr w14:paraId="598B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7D5EFA81">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5</w:t>
            </w:r>
          </w:p>
        </w:tc>
        <w:tc>
          <w:tcPr>
            <w:tcW w:w="4095" w:type="dxa"/>
            <w:tcBorders>
              <w:top w:val="single" w:color="auto" w:sz="4" w:space="0"/>
              <w:left w:val="single" w:color="auto" w:sz="4" w:space="0"/>
              <w:bottom w:val="single" w:color="auto" w:sz="4" w:space="0"/>
              <w:right w:val="single" w:color="auto" w:sz="4" w:space="0"/>
            </w:tcBorders>
            <w:noWrap w:val="0"/>
            <w:vAlign w:val="center"/>
          </w:tcPr>
          <w:p w14:paraId="4B5AE66B">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表面质量</w:t>
            </w:r>
          </w:p>
        </w:tc>
        <w:tc>
          <w:tcPr>
            <w:tcW w:w="3296" w:type="dxa"/>
            <w:vMerge w:val="continue"/>
            <w:tcBorders>
              <w:left w:val="single" w:color="auto" w:sz="4" w:space="0"/>
              <w:right w:val="single" w:color="auto" w:sz="4" w:space="0"/>
            </w:tcBorders>
            <w:noWrap w:val="0"/>
            <w:vAlign w:val="center"/>
          </w:tcPr>
          <w:p w14:paraId="46F89464">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bCs/>
                <w:sz w:val="24"/>
                <w:szCs w:val="24"/>
              </w:rPr>
            </w:pPr>
          </w:p>
        </w:tc>
      </w:tr>
      <w:tr w14:paraId="4A9FB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1751613C">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w:t>
            </w:r>
          </w:p>
        </w:tc>
        <w:tc>
          <w:tcPr>
            <w:tcW w:w="4095" w:type="dxa"/>
            <w:tcBorders>
              <w:top w:val="single" w:color="auto" w:sz="4" w:space="0"/>
              <w:left w:val="single" w:color="auto" w:sz="4" w:space="0"/>
              <w:bottom w:val="single" w:color="auto" w:sz="4" w:space="0"/>
              <w:right w:val="single" w:color="auto" w:sz="4" w:space="0"/>
            </w:tcBorders>
            <w:noWrap w:val="0"/>
            <w:vAlign w:val="center"/>
          </w:tcPr>
          <w:p w14:paraId="267EDBC2">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吸水率</w:t>
            </w:r>
          </w:p>
        </w:tc>
        <w:tc>
          <w:tcPr>
            <w:tcW w:w="3296" w:type="dxa"/>
            <w:tcBorders>
              <w:left w:val="single" w:color="auto" w:sz="4" w:space="0"/>
              <w:right w:val="single" w:color="auto" w:sz="4" w:space="0"/>
            </w:tcBorders>
            <w:noWrap w:val="0"/>
            <w:vAlign w:val="center"/>
          </w:tcPr>
          <w:p w14:paraId="5120AB2E">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GB/T 3810.3-2016</w:t>
            </w:r>
          </w:p>
          <w:p w14:paraId="104FE08E">
            <w:pPr>
              <w:pStyle w:val="2"/>
              <w:rPr>
                <w:rFonts w:hint="eastAsia"/>
              </w:rPr>
            </w:pPr>
            <w:r>
              <w:rPr>
                <w:rFonts w:hint="eastAsia" w:ascii="宋体" w:hAnsi="宋体" w:eastAsia="宋体" w:cs="宋体"/>
                <w:bCs/>
                <w:sz w:val="24"/>
                <w:szCs w:val="24"/>
              </w:rPr>
              <w:t>GB/T 3810.3-20</w:t>
            </w:r>
            <w:r>
              <w:rPr>
                <w:rFonts w:hint="eastAsia" w:ascii="宋体" w:hAnsi="宋体" w:eastAsia="宋体" w:cs="宋体"/>
                <w:bCs/>
                <w:sz w:val="24"/>
                <w:szCs w:val="24"/>
                <w:lang w:val="en-US" w:eastAsia="zh-CN"/>
              </w:rPr>
              <w:t>2</w:t>
            </w:r>
            <w:r>
              <w:rPr>
                <w:rFonts w:hint="eastAsia" w:ascii="宋体" w:hAnsi="宋体" w:eastAsia="宋体" w:cs="宋体"/>
                <w:bCs/>
                <w:sz w:val="24"/>
                <w:szCs w:val="24"/>
              </w:rPr>
              <w:t>6</w:t>
            </w:r>
          </w:p>
        </w:tc>
      </w:tr>
      <w:tr w14:paraId="6297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3559E976">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w:t>
            </w:r>
          </w:p>
        </w:tc>
        <w:tc>
          <w:tcPr>
            <w:tcW w:w="4095" w:type="dxa"/>
            <w:tcBorders>
              <w:top w:val="single" w:color="auto" w:sz="4" w:space="0"/>
              <w:left w:val="single" w:color="auto" w:sz="4" w:space="0"/>
              <w:bottom w:val="single" w:color="auto" w:sz="4" w:space="0"/>
              <w:right w:val="single" w:color="auto" w:sz="4" w:space="0"/>
            </w:tcBorders>
            <w:noWrap w:val="0"/>
            <w:vAlign w:val="center"/>
          </w:tcPr>
          <w:p w14:paraId="7C9B1257">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破坏强度</w:t>
            </w:r>
          </w:p>
        </w:tc>
        <w:tc>
          <w:tcPr>
            <w:tcW w:w="3296" w:type="dxa"/>
            <w:vMerge w:val="restart"/>
            <w:tcBorders>
              <w:left w:val="single" w:color="auto" w:sz="4" w:space="0"/>
              <w:right w:val="single" w:color="auto" w:sz="4" w:space="0"/>
            </w:tcBorders>
            <w:noWrap w:val="0"/>
            <w:vAlign w:val="center"/>
          </w:tcPr>
          <w:p w14:paraId="643F03F4">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3810.4-2016</w:t>
            </w:r>
          </w:p>
        </w:tc>
      </w:tr>
      <w:tr w14:paraId="5B86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1C5DA802">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4095" w:type="dxa"/>
            <w:tcBorders>
              <w:top w:val="single" w:color="auto" w:sz="4" w:space="0"/>
              <w:left w:val="single" w:color="auto" w:sz="4" w:space="0"/>
              <w:bottom w:val="single" w:color="auto" w:sz="4" w:space="0"/>
              <w:right w:val="single" w:color="auto" w:sz="4" w:space="0"/>
            </w:tcBorders>
            <w:noWrap w:val="0"/>
            <w:vAlign w:val="center"/>
          </w:tcPr>
          <w:p w14:paraId="321F2F64">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断裂模数</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有要求时）</w:t>
            </w:r>
          </w:p>
        </w:tc>
        <w:tc>
          <w:tcPr>
            <w:tcW w:w="3296" w:type="dxa"/>
            <w:vMerge w:val="continue"/>
            <w:tcBorders>
              <w:left w:val="single" w:color="auto" w:sz="4" w:space="0"/>
              <w:right w:val="single" w:color="auto" w:sz="4" w:space="0"/>
            </w:tcBorders>
            <w:noWrap w:val="0"/>
            <w:vAlign w:val="center"/>
          </w:tcPr>
          <w:p w14:paraId="4A568903">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bCs/>
                <w:sz w:val="24"/>
                <w:szCs w:val="24"/>
              </w:rPr>
            </w:pPr>
          </w:p>
        </w:tc>
      </w:tr>
      <w:tr w14:paraId="4A6E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190E838A">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4095" w:type="dxa"/>
            <w:tcBorders>
              <w:top w:val="single" w:color="auto" w:sz="4" w:space="0"/>
              <w:left w:val="single" w:color="auto" w:sz="4" w:space="0"/>
              <w:bottom w:val="single" w:color="auto" w:sz="4" w:space="0"/>
              <w:right w:val="single" w:color="auto" w:sz="4" w:space="0"/>
            </w:tcBorders>
            <w:noWrap w:val="0"/>
            <w:vAlign w:val="center"/>
          </w:tcPr>
          <w:p w14:paraId="36CA7C03">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耐磨性</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有要求时）</w:t>
            </w:r>
          </w:p>
        </w:tc>
        <w:tc>
          <w:tcPr>
            <w:tcW w:w="3296" w:type="dxa"/>
            <w:tcBorders>
              <w:left w:val="single" w:color="auto" w:sz="4" w:space="0"/>
              <w:right w:val="single" w:color="auto" w:sz="4" w:space="0"/>
            </w:tcBorders>
            <w:noWrap w:val="0"/>
            <w:vAlign w:val="center"/>
          </w:tcPr>
          <w:p w14:paraId="200AA123">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GB/T 3810.6-2016</w:t>
            </w:r>
          </w:p>
        </w:tc>
      </w:tr>
      <w:tr w14:paraId="16F6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3E7FCDCB">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40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C72D8A">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有釉砖抗釉裂性</w:t>
            </w:r>
          </w:p>
        </w:tc>
        <w:tc>
          <w:tcPr>
            <w:tcW w:w="3296" w:type="dxa"/>
            <w:tcBorders>
              <w:left w:val="single" w:color="auto" w:sz="4" w:space="0"/>
              <w:right w:val="single" w:color="auto" w:sz="4" w:space="0"/>
            </w:tcBorders>
            <w:noWrap w:val="0"/>
            <w:vAlign w:val="center"/>
          </w:tcPr>
          <w:p w14:paraId="1689F0EC">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GB/T 3810.11-2016</w:t>
            </w:r>
          </w:p>
        </w:tc>
      </w:tr>
      <w:tr w14:paraId="38B5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65" w:type="dxa"/>
            <w:tcBorders>
              <w:top w:val="single" w:color="auto" w:sz="4" w:space="0"/>
              <w:left w:val="single" w:color="auto" w:sz="4" w:space="0"/>
              <w:bottom w:val="single" w:color="auto" w:sz="4" w:space="0"/>
              <w:right w:val="single" w:color="auto" w:sz="4" w:space="0"/>
            </w:tcBorders>
            <w:noWrap w:val="0"/>
            <w:vAlign w:val="center"/>
          </w:tcPr>
          <w:p w14:paraId="5AC2B2C2">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40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016BD7">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地砖摩擦系数</w:t>
            </w:r>
          </w:p>
        </w:tc>
        <w:tc>
          <w:tcPr>
            <w:tcW w:w="3296" w:type="dxa"/>
            <w:tcBorders>
              <w:left w:val="single" w:color="auto" w:sz="4" w:space="0"/>
              <w:right w:val="single" w:color="auto" w:sz="4" w:space="0"/>
            </w:tcBorders>
            <w:noWrap w:val="0"/>
            <w:vAlign w:val="center"/>
          </w:tcPr>
          <w:p w14:paraId="5F8FACA2">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GB/T</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4100-20</w:t>
            </w:r>
            <w:r>
              <w:rPr>
                <w:rFonts w:hint="eastAsia" w:ascii="宋体" w:hAnsi="宋体" w:eastAsia="宋体" w:cs="宋体"/>
                <w:bCs/>
                <w:sz w:val="24"/>
                <w:szCs w:val="24"/>
                <w:lang w:val="en-US" w:eastAsia="zh-CN"/>
              </w:rPr>
              <w:t>15</w:t>
            </w:r>
          </w:p>
        </w:tc>
      </w:tr>
      <w:tr w14:paraId="643A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vAlign w:val="center"/>
          </w:tcPr>
          <w:p w14:paraId="6E758A26">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4095" w:type="dxa"/>
            <w:shd w:val="clear" w:color="auto" w:fill="auto"/>
            <w:vAlign w:val="center"/>
          </w:tcPr>
          <w:p w14:paraId="1E3934AF">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耐污染性</w:t>
            </w:r>
          </w:p>
        </w:tc>
        <w:tc>
          <w:tcPr>
            <w:tcW w:w="3296" w:type="dxa"/>
            <w:tcBorders>
              <w:left w:val="single" w:color="auto" w:sz="4" w:space="0"/>
              <w:right w:val="single" w:color="auto" w:sz="4" w:space="0"/>
            </w:tcBorders>
          </w:tcPr>
          <w:p w14:paraId="34870D00">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GB/T 3810.14-2016</w:t>
            </w:r>
          </w:p>
        </w:tc>
      </w:tr>
      <w:tr w14:paraId="280D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vAlign w:val="center"/>
          </w:tcPr>
          <w:p w14:paraId="3C9231AE">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w:t>
            </w:r>
          </w:p>
        </w:tc>
        <w:tc>
          <w:tcPr>
            <w:tcW w:w="4095" w:type="dxa"/>
            <w:shd w:val="clear" w:color="auto" w:fill="auto"/>
            <w:vAlign w:val="center"/>
          </w:tcPr>
          <w:p w14:paraId="737B4B54">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抗化学腐蚀性</w:t>
            </w:r>
            <w:r>
              <w:rPr>
                <w:rFonts w:hint="eastAsia" w:ascii="宋体" w:hAnsi="宋体" w:eastAsia="宋体" w:cs="宋体"/>
                <w:bCs/>
                <w:sz w:val="24"/>
                <w:szCs w:val="24"/>
                <w:lang w:eastAsia="zh-CN"/>
              </w:rPr>
              <w:t>（</w:t>
            </w:r>
            <w:r>
              <w:rPr>
                <w:rFonts w:hint="eastAsia" w:ascii="宋体" w:hAnsi="宋体" w:eastAsia="宋体" w:cs="宋体"/>
                <w:bCs/>
                <w:sz w:val="24"/>
                <w:szCs w:val="24"/>
              </w:rPr>
              <w:t>级</w:t>
            </w:r>
            <w:r>
              <w:rPr>
                <w:rFonts w:hint="eastAsia" w:ascii="宋体" w:hAnsi="宋体" w:eastAsia="宋体" w:cs="宋体"/>
                <w:bCs/>
                <w:sz w:val="24"/>
                <w:szCs w:val="24"/>
                <w:lang w:eastAsia="zh-CN"/>
              </w:rPr>
              <w:t>）</w:t>
            </w:r>
          </w:p>
        </w:tc>
        <w:tc>
          <w:tcPr>
            <w:tcW w:w="3296" w:type="dxa"/>
            <w:tcBorders>
              <w:left w:val="single" w:color="auto" w:sz="4" w:space="0"/>
              <w:right w:val="single" w:color="auto" w:sz="4" w:space="0"/>
            </w:tcBorders>
          </w:tcPr>
          <w:p w14:paraId="736DD98A">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GB/T 3810.13-2016</w:t>
            </w:r>
          </w:p>
        </w:tc>
      </w:tr>
      <w:tr w14:paraId="1603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65" w:type="dxa"/>
            <w:vAlign w:val="center"/>
          </w:tcPr>
          <w:p w14:paraId="36D0634C">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w:t>
            </w:r>
          </w:p>
        </w:tc>
        <w:tc>
          <w:tcPr>
            <w:tcW w:w="4095" w:type="dxa"/>
            <w:shd w:val="clear" w:color="auto" w:fill="auto"/>
            <w:vAlign w:val="center"/>
          </w:tcPr>
          <w:p w14:paraId="4A83DC73">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bCs/>
                <w:sz w:val="24"/>
                <w:szCs w:val="24"/>
              </w:rPr>
              <w:t>标志和说明</w:t>
            </w:r>
          </w:p>
        </w:tc>
        <w:tc>
          <w:tcPr>
            <w:tcW w:w="3296" w:type="dxa"/>
            <w:tcBorders>
              <w:left w:val="single" w:color="auto" w:sz="4" w:space="0"/>
              <w:right w:val="single" w:color="auto" w:sz="4" w:space="0"/>
            </w:tcBorders>
          </w:tcPr>
          <w:p w14:paraId="76C2CDA9">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GB/T</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4100-20</w:t>
            </w:r>
            <w:r>
              <w:rPr>
                <w:rFonts w:hint="eastAsia" w:ascii="宋体" w:hAnsi="宋体" w:eastAsia="宋体" w:cs="宋体"/>
                <w:bCs/>
                <w:sz w:val="24"/>
                <w:szCs w:val="24"/>
                <w:lang w:val="en-US" w:eastAsia="zh-CN"/>
              </w:rPr>
              <w:t>15</w:t>
            </w:r>
          </w:p>
        </w:tc>
      </w:tr>
      <w:tr w14:paraId="1FCC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65" w:type="dxa"/>
            <w:vAlign w:val="center"/>
          </w:tcPr>
          <w:p w14:paraId="2B7A9958">
            <w:pPr>
              <w:keepNext w:val="0"/>
              <w:keepLines w:val="0"/>
              <w:pageBreakBefore w:val="0"/>
              <w:kinsoku/>
              <w:wordWrap/>
              <w:overflowPunct/>
              <w:topLinePunct w:val="0"/>
              <w:autoSpaceDE/>
              <w:autoSpaceDN/>
              <w:bidi w:val="0"/>
              <w:adjustRightInd w:val="0"/>
              <w:snapToGrid w:val="0"/>
              <w:spacing w:line="3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w:t>
            </w:r>
          </w:p>
        </w:tc>
        <w:tc>
          <w:tcPr>
            <w:tcW w:w="4095" w:type="dxa"/>
            <w:shd w:val="clear" w:color="auto" w:fill="auto"/>
            <w:vAlign w:val="center"/>
          </w:tcPr>
          <w:p w14:paraId="6A87E1F8">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放射性核素限量</w:t>
            </w:r>
          </w:p>
        </w:tc>
        <w:tc>
          <w:tcPr>
            <w:tcW w:w="3296" w:type="dxa"/>
            <w:tcBorders>
              <w:left w:val="single" w:color="auto" w:sz="4" w:space="0"/>
              <w:right w:val="single" w:color="auto" w:sz="4" w:space="0"/>
            </w:tcBorders>
          </w:tcPr>
          <w:p w14:paraId="5D816DB0">
            <w:pPr>
              <w:keepNext w:val="0"/>
              <w:keepLines w:val="0"/>
              <w:pageBreakBefore w:val="0"/>
              <w:kinsoku/>
              <w:wordWrap/>
              <w:overflowPunct/>
              <w:topLinePunct w:val="0"/>
              <w:autoSpaceDE/>
              <w:autoSpaceDN/>
              <w:bidi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GB 6566-2010</w:t>
            </w:r>
          </w:p>
        </w:tc>
      </w:tr>
    </w:tbl>
    <w:p w14:paraId="37CAD72E">
      <w:pPr>
        <w:keepNext w:val="0"/>
        <w:keepLines w:val="0"/>
        <w:pageBreakBefore w:val="0"/>
        <w:kinsoku/>
        <w:wordWrap/>
        <w:overflowPunct/>
        <w:topLinePunct w:val="0"/>
        <w:autoSpaceDE/>
        <w:bidi w:val="0"/>
        <w:spacing w:line="300" w:lineRule="exact"/>
        <w:rPr>
          <w:rFonts w:hint="eastAsia" w:ascii="宋体" w:hAnsi="宋体" w:eastAsia="宋体" w:cs="宋体"/>
          <w:sz w:val="24"/>
          <w:szCs w:val="24"/>
          <w:lang w:val="en-US" w:eastAsia="zh-CN"/>
        </w:rPr>
      </w:pPr>
    </w:p>
    <w:p w14:paraId="40D0AF60">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执行企业标准、团体标准、地方标准的产品，检验项目参照上述内容执行。</w:t>
      </w:r>
    </w:p>
    <w:p w14:paraId="53B816FB">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凡是注</w:t>
      </w:r>
      <w:r>
        <w:rPr>
          <w:rFonts w:hint="eastAsia" w:ascii="仿宋_GB2312" w:hAnsi="仿宋_GB2312" w:cs="仿宋_GB2312"/>
          <w:kern w:val="0"/>
          <w:sz w:val="32"/>
          <w:szCs w:val="32"/>
          <w:lang w:eastAsia="zh-CN"/>
        </w:rPr>
        <w:t>明</w:t>
      </w:r>
      <w:r>
        <w:rPr>
          <w:rFonts w:hint="eastAsia" w:ascii="仿宋_GB2312" w:hAnsi="仿宋_GB2312" w:eastAsia="仿宋_GB2312" w:cs="仿宋_GB2312"/>
          <w:kern w:val="0"/>
          <w:sz w:val="32"/>
          <w:szCs w:val="32"/>
          <w:lang w:eastAsia="zh-CN"/>
        </w:rPr>
        <w:t>日期的文件，其随后所有的修改单（不包括勘误的内容）或修订版不适用于本细则。凡是不注</w:t>
      </w:r>
      <w:r>
        <w:rPr>
          <w:rFonts w:hint="eastAsia" w:ascii="仿宋_GB2312" w:hAnsi="仿宋_GB2312" w:cs="仿宋_GB2312"/>
          <w:kern w:val="0"/>
          <w:sz w:val="32"/>
          <w:szCs w:val="32"/>
          <w:lang w:eastAsia="zh-CN"/>
        </w:rPr>
        <w:t>明</w:t>
      </w:r>
      <w:r>
        <w:rPr>
          <w:rFonts w:hint="eastAsia" w:ascii="仿宋_GB2312" w:hAnsi="仿宋_GB2312" w:eastAsia="仿宋_GB2312" w:cs="仿宋_GB2312"/>
          <w:kern w:val="0"/>
          <w:sz w:val="32"/>
          <w:szCs w:val="32"/>
          <w:lang w:eastAsia="zh-CN"/>
        </w:rPr>
        <w:t>日期的文件，其最新版本适用于本细则。</w:t>
      </w:r>
    </w:p>
    <w:p w14:paraId="65482522">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lang w:eastAsia="zh-CN"/>
        </w:rPr>
        <w:t>判定规则</w:t>
      </w:r>
    </w:p>
    <w:p w14:paraId="4DCB7ED2">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1</w:t>
      </w:r>
      <w:r>
        <w:rPr>
          <w:rFonts w:hint="eastAsia" w:ascii="仿宋_GB2312" w:hAnsi="仿宋_GB2312" w:cs="仿宋_GB2312"/>
          <w:kern w:val="0"/>
          <w:sz w:val="32"/>
          <w:szCs w:val="32"/>
          <w:lang w:val="en-US" w:eastAsia="zh-CN"/>
        </w:rPr>
        <w:t>.</w:t>
      </w:r>
      <w:r>
        <w:rPr>
          <w:rFonts w:hint="eastAsia" w:ascii="仿宋_GB2312" w:hAnsi="仿宋_GB2312" w:eastAsia="仿宋_GB2312" w:cs="仿宋_GB2312"/>
          <w:kern w:val="0"/>
          <w:sz w:val="32"/>
          <w:szCs w:val="32"/>
          <w:lang w:eastAsia="zh-CN"/>
        </w:rPr>
        <w:t>依据标准</w:t>
      </w:r>
    </w:p>
    <w:p w14:paraId="1402CB0C">
      <w:pPr>
        <w:widowControl/>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GB/T</w:t>
      </w:r>
      <w:r>
        <w:rPr>
          <w:rFonts w:hint="eastAsia" w:ascii="仿宋_GB2312" w:hAnsi="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4100-20</w:t>
      </w:r>
      <w:r>
        <w:rPr>
          <w:rFonts w:hint="eastAsia" w:ascii="仿宋_GB2312" w:hAnsi="仿宋_GB2312" w:eastAsia="仿宋_GB2312" w:cs="仿宋_GB2312"/>
          <w:kern w:val="0"/>
          <w:sz w:val="32"/>
          <w:szCs w:val="32"/>
          <w:lang w:val="en-US" w:eastAsia="zh-CN"/>
        </w:rPr>
        <w:t>15</w:t>
      </w:r>
      <w:r>
        <w:rPr>
          <w:rFonts w:hint="eastAsia" w:ascii="仿宋_GB2312" w:hAnsi="仿宋_GB2312" w:eastAsia="仿宋_GB2312" w:cs="仿宋_GB2312"/>
          <w:kern w:val="0"/>
          <w:sz w:val="32"/>
          <w:szCs w:val="32"/>
        </w:rPr>
        <w:t>《陶瓷砖》</w:t>
      </w:r>
    </w:p>
    <w:p w14:paraId="08897062">
      <w:pPr>
        <w:widowControl/>
        <w:spacing w:line="60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 6566-2010《建筑材料放射性核素限量》</w:t>
      </w:r>
    </w:p>
    <w:p w14:paraId="5253FB63">
      <w:pPr>
        <w:widowControl/>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现行有效的企业标准、团体标准、地方标准及产品明示质量要求。</w:t>
      </w:r>
    </w:p>
    <w:p w14:paraId="1EE431A9">
      <w:pPr>
        <w:widowControl/>
        <w:spacing w:line="60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w:t>
      </w:r>
      <w:r>
        <w:rPr>
          <w:rFonts w:hint="eastAsia" w:ascii="仿宋_GB2312" w:hAnsi="仿宋_GB2312" w:cs="仿宋_GB2312"/>
          <w:kern w:val="0"/>
          <w:sz w:val="32"/>
          <w:szCs w:val="32"/>
          <w:lang w:val="en-US" w:eastAsia="zh-CN"/>
        </w:rPr>
        <w:t>.</w:t>
      </w:r>
      <w:r>
        <w:rPr>
          <w:rFonts w:hint="eastAsia" w:ascii="仿宋_GB2312" w:hAnsi="仿宋_GB2312" w:eastAsia="仿宋_GB2312" w:cs="仿宋_GB2312"/>
          <w:kern w:val="0"/>
          <w:sz w:val="32"/>
          <w:szCs w:val="32"/>
          <w:lang w:val="en-US" w:eastAsia="zh-CN"/>
        </w:rPr>
        <w:t>判定原则</w:t>
      </w:r>
    </w:p>
    <w:p w14:paraId="65B40E8B">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经检验，检验项目全部合格，判定为被抽查产品所检项目未发现不合格；检验项目中任一项或一项以上不合格，判定为被抽查产品不合格。</w:t>
      </w:r>
    </w:p>
    <w:p w14:paraId="26B9B8F1">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若被检产品明示的质量要求高于本细则中检验项目依据的标准要求时，应按被检产品明示的质量要求判定。</w:t>
      </w:r>
    </w:p>
    <w:p w14:paraId="34DFBFC6">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若被检产品明示的质量要求低于本细则中检验项目依据的强制性标准要求时，应按照强制性标准要求判定。</w:t>
      </w:r>
    </w:p>
    <w:p w14:paraId="766D64B9">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若被检产品明示的质量要求低于或包含本细则中检验项目依据的推荐性标准要求时，应以被检产品明示的质量要求判定。</w:t>
      </w:r>
    </w:p>
    <w:p w14:paraId="2E39A4F8">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若被检产品明示的质量要求缺少本细则中检验项目依据的强制性标准要求时，应按照强制性标准要求判定。</w:t>
      </w:r>
    </w:p>
    <w:p w14:paraId="156EB65F">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若被检产品明示的质量要求缺少本细则中检验项目依据的推荐性标准要求时，该项目不参与判定。</w:t>
      </w:r>
    </w:p>
    <w:p w14:paraId="4D30972D">
      <w:pPr>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F7D1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9CAD84">
                          <w:pPr>
                            <w:pStyle w:val="4"/>
                            <w:rPr>
                              <w:rFonts w:hint="eastAsia" w:eastAsia="仿宋_GB2312"/>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9CAD84">
                    <w:pPr>
                      <w:pStyle w:val="4"/>
                      <w:rPr>
                        <w:rFonts w:hint="eastAsia" w:eastAsia="仿宋_GB2312"/>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mMmI2ZTEyY2ZkZmFiYzBhYjA4YmZlZTgxMmZjMWMifQ=="/>
  </w:docVars>
  <w:rsids>
    <w:rsidRoot w:val="00FA122C"/>
    <w:rsid w:val="00092474"/>
    <w:rsid w:val="00381DA8"/>
    <w:rsid w:val="003B6A09"/>
    <w:rsid w:val="004017B7"/>
    <w:rsid w:val="00677471"/>
    <w:rsid w:val="00A11EB0"/>
    <w:rsid w:val="00CC2AE2"/>
    <w:rsid w:val="00DC1206"/>
    <w:rsid w:val="00DF64CE"/>
    <w:rsid w:val="00EA3AF9"/>
    <w:rsid w:val="00FA122C"/>
    <w:rsid w:val="01537940"/>
    <w:rsid w:val="021358C1"/>
    <w:rsid w:val="08731931"/>
    <w:rsid w:val="08A13CAE"/>
    <w:rsid w:val="092A6008"/>
    <w:rsid w:val="0B6C0305"/>
    <w:rsid w:val="0C4907E4"/>
    <w:rsid w:val="0C7F735D"/>
    <w:rsid w:val="15EF58A5"/>
    <w:rsid w:val="186B2B9A"/>
    <w:rsid w:val="1E5B34C6"/>
    <w:rsid w:val="22F92DA1"/>
    <w:rsid w:val="245E4CBE"/>
    <w:rsid w:val="24A34751"/>
    <w:rsid w:val="282C019E"/>
    <w:rsid w:val="288F6410"/>
    <w:rsid w:val="2A064B6D"/>
    <w:rsid w:val="2CEA0E1E"/>
    <w:rsid w:val="2DFA1297"/>
    <w:rsid w:val="2FF75DEF"/>
    <w:rsid w:val="339B107F"/>
    <w:rsid w:val="38A256E7"/>
    <w:rsid w:val="38B05B8F"/>
    <w:rsid w:val="3C315A4B"/>
    <w:rsid w:val="46B303F3"/>
    <w:rsid w:val="4ADC62C2"/>
    <w:rsid w:val="4BF85790"/>
    <w:rsid w:val="4C1179C0"/>
    <w:rsid w:val="4C543D3D"/>
    <w:rsid w:val="522D26A6"/>
    <w:rsid w:val="55BE419C"/>
    <w:rsid w:val="562F2BA3"/>
    <w:rsid w:val="569D4E8F"/>
    <w:rsid w:val="590233BD"/>
    <w:rsid w:val="5B2F5C7D"/>
    <w:rsid w:val="5B4E7E5B"/>
    <w:rsid w:val="61104296"/>
    <w:rsid w:val="68BA3D3F"/>
    <w:rsid w:val="69C04F4C"/>
    <w:rsid w:val="6A9C0E67"/>
    <w:rsid w:val="6E0818B5"/>
    <w:rsid w:val="6EEE5A3B"/>
    <w:rsid w:val="702B55B7"/>
    <w:rsid w:val="72724064"/>
    <w:rsid w:val="77FF3695"/>
    <w:rsid w:val="7906664A"/>
    <w:rsid w:val="7B6315DB"/>
    <w:rsid w:val="7B9354B1"/>
    <w:rsid w:val="7EF748AA"/>
    <w:rsid w:val="D7EBA856"/>
    <w:rsid w:val="F79C1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9"/>
    <w:pPr>
      <w:jc w:val="center"/>
      <w:outlineLvl w:val="0"/>
    </w:pPr>
    <w:rPr>
      <w:rFonts w:ascii="方正小标宋简体" w:eastAsia="方正小标宋简体"/>
      <w:kern w:val="44"/>
      <w:sz w:val="3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left="720"/>
    </w:pPr>
  </w:style>
  <w:style w:type="paragraph" w:styleId="4">
    <w:name w:val="footer"/>
    <w:basedOn w:val="1"/>
    <w:link w:val="8"/>
    <w:qFormat/>
    <w:uiPriority w:val="0"/>
    <w:pPr>
      <w:tabs>
        <w:tab w:val="center" w:pos="4153"/>
        <w:tab w:val="right" w:pos="8306"/>
      </w:tabs>
      <w:snapToGrid w:val="0"/>
      <w:jc w:val="left"/>
    </w:pPr>
    <w:rPr>
      <w:sz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脚 Char"/>
    <w:basedOn w:val="7"/>
    <w:link w:val="4"/>
    <w:qFormat/>
    <w:uiPriority w:val="0"/>
    <w:rPr>
      <w:rFonts w:ascii="Times New Roman" w:hAnsi="Times New Roman" w:eastAsia="仿宋_GB2312" w:cs="Times New Roman"/>
      <w:sz w:val="18"/>
      <w:szCs w:val="24"/>
    </w:rPr>
  </w:style>
  <w:style w:type="paragraph" w:customStyle="1" w:styleId="9">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kern w:val="2"/>
      <w:sz w:val="21"/>
      <w:szCs w:val="22"/>
      <w:lang w:val="en-US" w:eastAsia="zh-CN" w:bidi="ar-SA"/>
    </w:rPr>
  </w:style>
  <w:style w:type="paragraph" w:customStyle="1" w:styleId="10">
    <w:name w:val="一级条标题"/>
    <w:next w:val="9"/>
    <w:qFormat/>
    <w:uiPriority w:val="0"/>
    <w:pPr>
      <w:spacing w:beforeLines="50" w:afterLines="50"/>
      <w:ind w:left="716"/>
      <w:outlineLvl w:val="2"/>
    </w:pPr>
    <w:rPr>
      <w:rFonts w:ascii="黑体" w:hAnsi="Calibri" w:eastAsia="黑体" w:cs="Times New Roman"/>
      <w:kern w:val="0"/>
      <w:sz w:val="21"/>
      <w:szCs w:val="21"/>
      <w:lang w:val="en-US" w:eastAsia="zh-CN" w:bidi="ar-SA"/>
    </w:rPr>
  </w:style>
  <w:style w:type="paragraph" w:customStyle="1" w:styleId="11">
    <w:name w:val="二级条标题"/>
    <w:basedOn w:val="10"/>
    <w:next w:val="9"/>
    <w:qFormat/>
    <w:uiPriority w:val="0"/>
    <w:pPr>
      <w:spacing w:before="50" w:after="50"/>
      <w:outlineLvl w:val="3"/>
    </w:pPr>
  </w:style>
  <w:style w:type="paragraph" w:customStyle="1" w:styleId="12">
    <w:name w:val="列出段落2"/>
    <w:basedOn w:val="1"/>
    <w:unhideWhenUsed/>
    <w:qFormat/>
    <w:uiPriority w:val="99"/>
    <w:pPr>
      <w:ind w:firstLine="420" w:firstLineChars="200"/>
    </w:pPr>
    <w:rPr>
      <w:sz w:val="30"/>
    </w:rPr>
  </w:style>
  <w:style w:type="paragraph" w:customStyle="1" w:styleId="13">
    <w:name w:val="Table Paragraph"/>
    <w:basedOn w:val="1"/>
    <w:qFormat/>
    <w:uiPriority w:val="0"/>
    <w:pPr>
      <w:jc w:val="left"/>
    </w:pPr>
    <w:rPr>
      <w:rFonts w:ascii="Calibri" w:hAnsi="Calibri"/>
      <w:kern w:val="0"/>
      <w:sz w:val="22"/>
      <w:szCs w:val="22"/>
      <w:lang w:eastAsia="en-US"/>
    </w:rPr>
  </w:style>
  <w:style w:type="character" w:customStyle="1" w:styleId="14">
    <w:name w:val="页眉 Char"/>
    <w:basedOn w:val="7"/>
    <w:link w:val="5"/>
    <w:qFormat/>
    <w:uiPriority w:val="0"/>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4733f344-9272-4e99-9145-9c852c35ef2e</errorID>
      <errorWord>,</errorWord>
      <group>L1_Format</group>
      <groupName>格式问题</groupName>
      <ability>L2_HalfPunc_CN</ability>
      <abilityName>全半角问题</abilityName>
      <candidateList>
        <item>，</item>
      </candidateList>
      <explain>文本全半角错误。</explain>
      <paraID>77C7A345</paraID>
      <start>13</start>
      <end>14</end>
      <status>modified</status>
      <modifiedWord>，</modifiedWord>
      <trackRevisions>false</trackRevisions>
    </reviewItem>
    <reviewItem>
      <errorID>c180f0a7-e051-4157-a593-b5b228732588</errorID>
      <errorWord>(</errorWord>
      <group>L1_Format</group>
      <groupName>格式问题</groupName>
      <ability>L2_HalfPunc_CN</ability>
      <abilityName>全半角问题</abilityName>
      <candidateList>
        <item>（</item>
      </candidateList>
      <explain>文本全半角错误。</explain>
      <paraID>321F2F64</paraID>
      <start>4</start>
      <end>5</end>
      <status>modified</status>
      <modifiedWord>（</modifiedWord>
      <trackRevisions>false</trackRevisions>
    </reviewItem>
    <reviewItem>
      <errorID>4992a5b7-21cc-4823-8964-6edfaccbf8a6</errorID>
      <errorWord>(</errorWord>
      <group>L1_Format</group>
      <groupName>格式问题</groupName>
      <ability>L2_HalfPunc_CN</ability>
      <abilityName>全半角问题</abilityName>
      <candidateList>
        <item>（</item>
      </candidateList>
      <explain>文本全半角错误。</explain>
      <paraID>36CA7C03</paraID>
      <start>3</start>
      <end>4</end>
      <status>modified</status>
      <modifiedWord>（</modifiedWord>
      <trackRevisions>false</trackRevisions>
    </reviewItem>
    <reviewItem>
      <errorID>53adbba2-5f57-47a2-a773-d92335c1fdc3</errorID>
      <errorWord>(</errorWord>
      <group>L1_Format</group>
      <groupName>格式问题</groupName>
      <ability>L2_HalfPunc_CN</ability>
      <abilityName>全半角问题</abilityName>
      <candidateList>
        <item>（</item>
      </candidateList>
      <explain>文本全半角错误。</explain>
      <paraID>737B4B54</paraID>
      <start>6</start>
      <end>7</end>
      <status>modified</status>
      <modifiedWord>（</modifiedWord>
      <trackRevisions>false</trackRevisions>
    </reviewItem>
    <reviewItem>
      <errorID>03541c40-c818-4de7-bc27-ad26484f3090</errorID>
      <errorWord>)</errorWord>
      <group>L1_Format</group>
      <groupName>格式问题</groupName>
      <ability>L2_HalfPunc_CN</ability>
      <abilityName>全半角问题</abilityName>
      <candidateList>
        <item>）</item>
      </candidateList>
      <explain>文本全半角错误。</explain>
      <paraID>737B4B54</paraID>
      <start>8</start>
      <end>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452a77-8a68-4ec3-872d-0dc8ad74bfa3}">
  <ds:schemaRefs/>
</ds:datastoreItem>
</file>

<file path=docProps/app.xml><?xml version="1.0" encoding="utf-8"?>
<Properties xmlns="http://schemas.openxmlformats.org/officeDocument/2006/extended-properties" xmlns:vt="http://schemas.openxmlformats.org/officeDocument/2006/docPropsVTypes">
  <Template>Normal</Template>
  <Pages>3</Pages>
  <Words>823</Words>
  <Characters>1018</Characters>
  <Lines>23</Lines>
  <Paragraphs>6</Paragraphs>
  <TotalTime>13</TotalTime>
  <ScaleCrop>false</ScaleCrop>
  <LinksUpToDate>false</LinksUpToDate>
  <CharactersWithSpaces>1032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2020-07-23T09:55:00Z</dcterms:created>
  <dc:creator>zyw</dc:creator>
  <cp:lastModifiedBy>邓雨文</cp:lastModifiedBy>
  <cp:lastPrinted>2026-04-15T15:23:00Z</cp:lastPrinted>
  <dcterms:modified xsi:type="dcterms:W3CDTF">2026-09-15T02:27:34Z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D0365317052D481D889D5B3CEE04CB6F_13</vt:lpwstr>
  </property>
  <property fmtid="{D5CDD505-2E9C-101B-9397-08002B2CF9AE}" pid="4" name="KSOTemplateDocerSaveRecord">
    <vt:lpwstr>eyJoZGlkIjoiMDE2ZTkyZTQyNTI0ODVjZGU0NDNlNTRkMTEzMmVkODEiLCJ1c2VySWQiOiI2MzY5NzAwMjQifQ==</vt:lpwstr>
  </property>
</Properties>
</file>