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9D5780">
      <w:pPr>
        <w:keepNext w:val="0"/>
        <w:keepLines w:val="0"/>
        <w:pageBreakBefore w:val="0"/>
        <w:widowControl w:val="0"/>
        <w:kinsoku/>
        <w:wordWrap/>
        <w:overflowPunct/>
        <w:topLinePunct w:val="0"/>
        <w:autoSpaceDN/>
        <w:bidi w:val="0"/>
        <w:adjustRightInd/>
        <w:spacing w:line="560" w:lineRule="exact"/>
        <w:jc w:val="both"/>
        <w:textAlignment w:val="auto"/>
        <w:rPr>
          <w:rFonts w:hint="default" w:ascii="Times New Roman" w:hAnsi="Times New Roman" w:cs="仿宋_GB2312"/>
          <w:color w:val="auto"/>
          <w:szCs w:val="40"/>
          <w:highlight w:val="none"/>
          <w:lang w:val="en-US" w:eastAsia="zh-CN"/>
        </w:rPr>
      </w:pPr>
      <w:r>
        <w:rPr>
          <w:rFonts w:hint="eastAsia" w:ascii="Times New Roman" w:hAnsi="Times New Roman" w:cs="仿宋_GB2312"/>
          <w:color w:val="auto"/>
          <w:szCs w:val="40"/>
          <w:highlight w:val="none"/>
          <w:lang w:val="en-US" w:eastAsia="zh-CN"/>
        </w:rPr>
        <w:t>附件11</w:t>
      </w:r>
      <w:bookmarkStart w:id="0" w:name="_GoBack"/>
      <w:bookmarkEnd w:id="0"/>
    </w:p>
    <w:p w14:paraId="1EBD91B1">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投影机产品质量监督抽查实施细则</w:t>
      </w:r>
    </w:p>
    <w:p w14:paraId="11B00491">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（2026年版）</w:t>
      </w:r>
    </w:p>
    <w:p w14:paraId="08495723">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6B0DE58C">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eastAsia="黑体" w:cs="黑体"/>
          <w:color w:val="auto"/>
          <w:szCs w:val="40"/>
          <w:highlight w:val="none"/>
        </w:rPr>
      </w:pPr>
      <w:r>
        <w:rPr>
          <w:rFonts w:hint="eastAsia" w:ascii="Times New Roman" w:hAnsi="Times New Roman" w:eastAsia="黑体" w:cs="黑体"/>
          <w:color w:val="auto"/>
          <w:szCs w:val="40"/>
          <w:highlight w:val="none"/>
        </w:rPr>
        <w:t>1 抽样方法</w:t>
      </w:r>
    </w:p>
    <w:p w14:paraId="320F8A60">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以随机抽样的方式在被抽样生产者、销售者的待销产品中抽取。</w:t>
      </w:r>
    </w:p>
    <w:p w14:paraId="09D22658">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随机数一般可使用随机数表等方法产生。</w:t>
      </w:r>
    </w:p>
    <w:p w14:paraId="240B5862">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每批次产品抽取样品2台，其中1台作为检验样品</w:t>
      </w:r>
      <w:r>
        <w:rPr>
          <w:rFonts w:hint="eastAsia" w:cs="仿宋_GB2312"/>
          <w:color w:val="auto"/>
          <w:szCs w:val="40"/>
          <w:highlight w:val="none"/>
          <w:lang w:eastAsia="zh-CN"/>
        </w:rPr>
        <w:t>、</w:t>
      </w:r>
      <w:r>
        <w:rPr>
          <w:rFonts w:hint="eastAsia" w:ascii="Times New Roman" w:hAnsi="Times New Roman" w:cs="仿宋_GB2312"/>
          <w:color w:val="auto"/>
          <w:szCs w:val="40"/>
          <w:highlight w:val="none"/>
        </w:rPr>
        <w:t>1台作为备用样品。</w:t>
      </w:r>
    </w:p>
    <w:p w14:paraId="75334CA6">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eastAsia="黑体" w:cs="黑体"/>
          <w:color w:val="auto"/>
          <w:szCs w:val="40"/>
          <w:highlight w:val="none"/>
        </w:rPr>
      </w:pPr>
      <w:r>
        <w:rPr>
          <w:rFonts w:hint="eastAsia" w:ascii="Times New Roman" w:hAnsi="Times New Roman" w:eastAsia="黑体" w:cs="黑体"/>
          <w:color w:val="auto"/>
          <w:szCs w:val="40"/>
          <w:highlight w:val="none"/>
        </w:rPr>
        <w:t>2 检验依据</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5523"/>
        <w:gridCol w:w="2659"/>
      </w:tblGrid>
      <w:tr w14:paraId="54325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85" w:type="dxa"/>
            <w:noWrap w:val="0"/>
            <w:vAlign w:val="top"/>
          </w:tcPr>
          <w:p w14:paraId="6F58FCA2">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b/>
                <w:bCs/>
                <w:color w:val="auto"/>
                <w:sz w:val="28"/>
                <w:szCs w:val="28"/>
                <w:highlight w:val="none"/>
                <w:lang w:bidi="ar"/>
              </w:rPr>
            </w:pPr>
            <w:r>
              <w:rPr>
                <w:rFonts w:hint="eastAsia" w:ascii="Times New Roman" w:hAnsi="Times New Roman" w:cs="仿宋_GB2312"/>
                <w:b/>
                <w:bCs/>
                <w:color w:val="auto"/>
                <w:sz w:val="28"/>
                <w:szCs w:val="28"/>
                <w:highlight w:val="none"/>
                <w:lang w:bidi="ar"/>
              </w:rPr>
              <w:t>序号</w:t>
            </w:r>
          </w:p>
        </w:tc>
        <w:tc>
          <w:tcPr>
            <w:tcW w:w="5523" w:type="dxa"/>
            <w:noWrap w:val="0"/>
            <w:vAlign w:val="top"/>
          </w:tcPr>
          <w:p w14:paraId="6A10AC6E">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b/>
                <w:bCs/>
                <w:color w:val="auto"/>
                <w:sz w:val="28"/>
                <w:szCs w:val="28"/>
                <w:highlight w:val="none"/>
                <w:lang w:bidi="ar"/>
              </w:rPr>
            </w:pPr>
            <w:r>
              <w:rPr>
                <w:rFonts w:hint="eastAsia" w:ascii="Times New Roman" w:hAnsi="Times New Roman" w:cs="仿宋_GB2312"/>
                <w:b/>
                <w:bCs/>
                <w:color w:val="auto"/>
                <w:sz w:val="28"/>
                <w:szCs w:val="28"/>
                <w:highlight w:val="none"/>
                <w:lang w:bidi="ar"/>
              </w:rPr>
              <w:t>检验项目</w:t>
            </w:r>
          </w:p>
        </w:tc>
        <w:tc>
          <w:tcPr>
            <w:tcW w:w="2659" w:type="dxa"/>
            <w:noWrap w:val="0"/>
            <w:vAlign w:val="top"/>
          </w:tcPr>
          <w:p w14:paraId="05F483F2">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b/>
                <w:bCs/>
                <w:color w:val="auto"/>
                <w:sz w:val="28"/>
                <w:szCs w:val="28"/>
                <w:highlight w:val="none"/>
                <w:lang w:bidi="ar"/>
              </w:rPr>
            </w:pPr>
            <w:r>
              <w:rPr>
                <w:rFonts w:hint="eastAsia" w:ascii="Times New Roman" w:hAnsi="Times New Roman" w:cs="仿宋_GB2312"/>
                <w:b/>
                <w:bCs/>
                <w:color w:val="auto"/>
                <w:sz w:val="28"/>
                <w:szCs w:val="28"/>
                <w:highlight w:val="none"/>
                <w:lang w:bidi="ar"/>
              </w:rPr>
              <w:t>检验方法</w:t>
            </w:r>
          </w:p>
        </w:tc>
      </w:tr>
      <w:tr w14:paraId="430E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00A7E4F1">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1</w:t>
            </w:r>
          </w:p>
        </w:tc>
        <w:tc>
          <w:tcPr>
            <w:tcW w:w="5523" w:type="dxa"/>
            <w:noWrap w:val="0"/>
            <w:vAlign w:val="center"/>
          </w:tcPr>
          <w:p w14:paraId="07326A37">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导体的固定</w:t>
            </w:r>
          </w:p>
        </w:tc>
        <w:tc>
          <w:tcPr>
            <w:tcW w:w="2659" w:type="dxa"/>
            <w:noWrap w:val="0"/>
            <w:vAlign w:val="center"/>
          </w:tcPr>
          <w:p w14:paraId="372FA3AA">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4943.1—2022</w:t>
            </w:r>
          </w:p>
        </w:tc>
      </w:tr>
      <w:tr w14:paraId="2B35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403A22D6">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2</w:t>
            </w:r>
          </w:p>
        </w:tc>
        <w:tc>
          <w:tcPr>
            <w:tcW w:w="5523" w:type="dxa"/>
            <w:noWrap w:val="0"/>
            <w:vAlign w:val="center"/>
          </w:tcPr>
          <w:p w14:paraId="483A6872">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电气间隙</w:t>
            </w:r>
          </w:p>
        </w:tc>
        <w:tc>
          <w:tcPr>
            <w:tcW w:w="2659" w:type="dxa"/>
            <w:noWrap w:val="0"/>
            <w:vAlign w:val="center"/>
          </w:tcPr>
          <w:p w14:paraId="76E3E58C">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4943.1—2022</w:t>
            </w:r>
          </w:p>
        </w:tc>
      </w:tr>
      <w:tr w14:paraId="3E647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11B74250">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3</w:t>
            </w:r>
          </w:p>
        </w:tc>
        <w:tc>
          <w:tcPr>
            <w:tcW w:w="5523" w:type="dxa"/>
            <w:noWrap w:val="0"/>
            <w:vAlign w:val="center"/>
          </w:tcPr>
          <w:p w14:paraId="0C92E268">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爬电距离</w:t>
            </w:r>
          </w:p>
        </w:tc>
        <w:tc>
          <w:tcPr>
            <w:tcW w:w="2659" w:type="dxa"/>
            <w:noWrap w:val="0"/>
            <w:vAlign w:val="center"/>
          </w:tcPr>
          <w:p w14:paraId="4C3B5AC4">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4943.1—2022</w:t>
            </w:r>
          </w:p>
        </w:tc>
      </w:tr>
      <w:tr w14:paraId="30DDB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1986B46E">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4</w:t>
            </w:r>
          </w:p>
        </w:tc>
        <w:tc>
          <w:tcPr>
            <w:tcW w:w="5523" w:type="dxa"/>
            <w:noWrap w:val="0"/>
            <w:vAlign w:val="center"/>
          </w:tcPr>
          <w:p w14:paraId="57823AA8">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抗电强度试验</w:t>
            </w:r>
          </w:p>
        </w:tc>
        <w:tc>
          <w:tcPr>
            <w:tcW w:w="2659" w:type="dxa"/>
            <w:noWrap w:val="0"/>
            <w:vAlign w:val="center"/>
          </w:tcPr>
          <w:p w14:paraId="25FD783C">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4943.1—2022</w:t>
            </w:r>
          </w:p>
        </w:tc>
      </w:tr>
      <w:tr w14:paraId="7117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985" w:type="dxa"/>
            <w:noWrap w:val="0"/>
            <w:vAlign w:val="center"/>
          </w:tcPr>
          <w:p w14:paraId="2F6D4475">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5</w:t>
            </w:r>
          </w:p>
        </w:tc>
        <w:tc>
          <w:tcPr>
            <w:tcW w:w="5523" w:type="dxa"/>
            <w:noWrap w:val="0"/>
            <w:vAlign w:val="center"/>
          </w:tcPr>
          <w:p w14:paraId="0DECBC9C">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断开连接器后电容器的放电</w:t>
            </w:r>
          </w:p>
        </w:tc>
        <w:tc>
          <w:tcPr>
            <w:tcW w:w="2659" w:type="dxa"/>
            <w:noWrap w:val="0"/>
            <w:vAlign w:val="center"/>
          </w:tcPr>
          <w:p w14:paraId="0B18967E">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4943.1—2022</w:t>
            </w:r>
          </w:p>
        </w:tc>
      </w:tr>
      <w:tr w14:paraId="00DA5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7E47C5C5">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6</w:t>
            </w:r>
          </w:p>
        </w:tc>
        <w:tc>
          <w:tcPr>
            <w:tcW w:w="5523" w:type="dxa"/>
            <w:noWrap w:val="0"/>
            <w:vAlign w:val="center"/>
          </w:tcPr>
          <w:p w14:paraId="7FB8A8F1">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保护导体</w:t>
            </w:r>
          </w:p>
        </w:tc>
        <w:tc>
          <w:tcPr>
            <w:tcW w:w="2659" w:type="dxa"/>
            <w:noWrap w:val="0"/>
            <w:vAlign w:val="center"/>
          </w:tcPr>
          <w:p w14:paraId="08C37186">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4943.1—2022</w:t>
            </w:r>
          </w:p>
        </w:tc>
      </w:tr>
      <w:tr w14:paraId="70C0C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46F46B65">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7</w:t>
            </w:r>
          </w:p>
        </w:tc>
        <w:tc>
          <w:tcPr>
            <w:tcW w:w="5523" w:type="dxa"/>
            <w:noWrap w:val="0"/>
            <w:vAlign w:val="center"/>
          </w:tcPr>
          <w:p w14:paraId="2A21B275">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预期的接触电压、接触电流和保护导体电流</w:t>
            </w:r>
          </w:p>
        </w:tc>
        <w:tc>
          <w:tcPr>
            <w:tcW w:w="2659" w:type="dxa"/>
            <w:noWrap w:val="0"/>
            <w:vAlign w:val="center"/>
          </w:tcPr>
          <w:p w14:paraId="67EE86F1">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4943.1—2022</w:t>
            </w:r>
          </w:p>
        </w:tc>
      </w:tr>
      <w:tr w14:paraId="79A13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6EB2F73F">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8</w:t>
            </w:r>
          </w:p>
        </w:tc>
        <w:tc>
          <w:tcPr>
            <w:tcW w:w="5523" w:type="dxa"/>
            <w:noWrap w:val="0"/>
            <w:vAlign w:val="center"/>
          </w:tcPr>
          <w:p w14:paraId="66E83222">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热灼伤（接触温度限值）</w:t>
            </w:r>
          </w:p>
        </w:tc>
        <w:tc>
          <w:tcPr>
            <w:tcW w:w="2659" w:type="dxa"/>
            <w:noWrap w:val="0"/>
            <w:vAlign w:val="center"/>
          </w:tcPr>
          <w:p w14:paraId="6A578F39">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4943.1—2022</w:t>
            </w:r>
          </w:p>
        </w:tc>
      </w:tr>
      <w:tr w14:paraId="2ADFB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7725FD68">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9</w:t>
            </w:r>
          </w:p>
        </w:tc>
        <w:tc>
          <w:tcPr>
            <w:tcW w:w="5523" w:type="dxa"/>
            <w:noWrap w:val="0"/>
            <w:vAlign w:val="center"/>
          </w:tcPr>
          <w:p w14:paraId="53A9E5A4">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投影光效</w:t>
            </w:r>
          </w:p>
        </w:tc>
        <w:tc>
          <w:tcPr>
            <w:tcW w:w="2659" w:type="dxa"/>
            <w:noWrap w:val="0"/>
            <w:vAlign w:val="center"/>
          </w:tcPr>
          <w:p w14:paraId="69A02E2D">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32028—2015</w:t>
            </w:r>
          </w:p>
          <w:p w14:paraId="67FB879D">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32028—2025</w:t>
            </w:r>
          </w:p>
        </w:tc>
      </w:tr>
      <w:tr w14:paraId="4190D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371A3DDE">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10</w:t>
            </w:r>
          </w:p>
        </w:tc>
        <w:tc>
          <w:tcPr>
            <w:tcW w:w="5523" w:type="dxa"/>
            <w:noWrap w:val="0"/>
            <w:vAlign w:val="center"/>
          </w:tcPr>
          <w:p w14:paraId="0B7EEE4A">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被动待机功率</w:t>
            </w:r>
          </w:p>
        </w:tc>
        <w:tc>
          <w:tcPr>
            <w:tcW w:w="2659" w:type="dxa"/>
            <w:noWrap w:val="0"/>
            <w:vAlign w:val="center"/>
          </w:tcPr>
          <w:p w14:paraId="0EC2AB26">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32028—2015</w:t>
            </w:r>
          </w:p>
          <w:p w14:paraId="78FD608F">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32028—2025</w:t>
            </w:r>
          </w:p>
        </w:tc>
      </w:tr>
      <w:tr w14:paraId="6F410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6584DAED">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11</w:t>
            </w:r>
          </w:p>
        </w:tc>
        <w:tc>
          <w:tcPr>
            <w:tcW w:w="5523" w:type="dxa"/>
            <w:noWrap w:val="0"/>
            <w:vAlign w:val="center"/>
          </w:tcPr>
          <w:p w14:paraId="0724B77E">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交流电源端口的传导发射</w:t>
            </w:r>
          </w:p>
        </w:tc>
        <w:tc>
          <w:tcPr>
            <w:tcW w:w="2659" w:type="dxa"/>
            <w:noWrap w:val="0"/>
            <w:vAlign w:val="center"/>
          </w:tcPr>
          <w:p w14:paraId="03EDBE26">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GB/T 9254.1—2021</w:t>
            </w:r>
          </w:p>
        </w:tc>
      </w:tr>
      <w:tr w14:paraId="07700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1A0BCC4C">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12</w:t>
            </w:r>
          </w:p>
        </w:tc>
        <w:tc>
          <w:tcPr>
            <w:tcW w:w="5523" w:type="dxa"/>
            <w:noWrap w:val="0"/>
            <w:vAlign w:val="center"/>
          </w:tcPr>
          <w:p w14:paraId="59E3A625">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不对称模式传导发射</w:t>
            </w:r>
          </w:p>
        </w:tc>
        <w:tc>
          <w:tcPr>
            <w:tcW w:w="2659" w:type="dxa"/>
            <w:noWrap w:val="0"/>
            <w:vAlign w:val="center"/>
          </w:tcPr>
          <w:p w14:paraId="590A4F00">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GB/T 9254.1—2021</w:t>
            </w:r>
          </w:p>
        </w:tc>
      </w:tr>
      <w:tr w14:paraId="532F7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723E8A26">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13</w:t>
            </w:r>
          </w:p>
        </w:tc>
        <w:tc>
          <w:tcPr>
            <w:tcW w:w="5523" w:type="dxa"/>
            <w:noWrap w:val="0"/>
            <w:vAlign w:val="center"/>
          </w:tcPr>
          <w:p w14:paraId="27070D46">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1GHz以下辐射发射</w:t>
            </w:r>
          </w:p>
        </w:tc>
        <w:tc>
          <w:tcPr>
            <w:tcW w:w="2659" w:type="dxa"/>
            <w:noWrap w:val="0"/>
            <w:vAlign w:val="center"/>
          </w:tcPr>
          <w:p w14:paraId="3561D2BB">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GB/T 9254.1—2021</w:t>
            </w:r>
          </w:p>
        </w:tc>
      </w:tr>
      <w:tr w14:paraId="06D71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0CABE8CF">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14</w:t>
            </w:r>
          </w:p>
        </w:tc>
        <w:tc>
          <w:tcPr>
            <w:tcW w:w="5523" w:type="dxa"/>
            <w:noWrap w:val="0"/>
            <w:vAlign w:val="center"/>
          </w:tcPr>
          <w:p w14:paraId="2FF01A5F">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1GHz以上辐射发射</w:t>
            </w:r>
          </w:p>
        </w:tc>
        <w:tc>
          <w:tcPr>
            <w:tcW w:w="2659" w:type="dxa"/>
            <w:noWrap w:val="0"/>
            <w:vAlign w:val="center"/>
          </w:tcPr>
          <w:p w14:paraId="24F6B592">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GB/T 9254.1—2021</w:t>
            </w:r>
          </w:p>
        </w:tc>
      </w:tr>
      <w:tr w14:paraId="36A7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2DC4BF3D">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15</w:t>
            </w:r>
          </w:p>
        </w:tc>
        <w:tc>
          <w:tcPr>
            <w:tcW w:w="5523" w:type="dxa"/>
            <w:noWrap w:val="0"/>
            <w:vAlign w:val="center"/>
          </w:tcPr>
          <w:p w14:paraId="14C35B28">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光输出</w:t>
            </w:r>
          </w:p>
        </w:tc>
        <w:tc>
          <w:tcPr>
            <w:tcW w:w="2659" w:type="dxa"/>
            <w:noWrap w:val="0"/>
            <w:vAlign w:val="center"/>
          </w:tcPr>
          <w:p w14:paraId="27329F32">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SJ/T 11346—2015</w:t>
            </w:r>
          </w:p>
        </w:tc>
      </w:tr>
      <w:tr w14:paraId="3C96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52E14A29">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16</w:t>
            </w:r>
          </w:p>
        </w:tc>
        <w:tc>
          <w:tcPr>
            <w:tcW w:w="5523" w:type="dxa"/>
            <w:noWrap w:val="0"/>
            <w:vAlign w:val="center"/>
          </w:tcPr>
          <w:p w14:paraId="757EC1A7">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照度均匀性</w:t>
            </w:r>
          </w:p>
        </w:tc>
        <w:tc>
          <w:tcPr>
            <w:tcW w:w="2659" w:type="dxa"/>
            <w:noWrap w:val="0"/>
            <w:vAlign w:val="center"/>
          </w:tcPr>
          <w:p w14:paraId="625BD7AD">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SJ/T 11346—2015</w:t>
            </w:r>
          </w:p>
        </w:tc>
      </w:tr>
      <w:tr w14:paraId="7E1B5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39469D02">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17</w:t>
            </w:r>
          </w:p>
        </w:tc>
        <w:tc>
          <w:tcPr>
            <w:tcW w:w="5523" w:type="dxa"/>
            <w:noWrap w:val="0"/>
            <w:vAlign w:val="center"/>
          </w:tcPr>
          <w:p w14:paraId="737A5D2D">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对比度</w:t>
            </w:r>
          </w:p>
        </w:tc>
        <w:tc>
          <w:tcPr>
            <w:tcW w:w="2659" w:type="dxa"/>
            <w:noWrap w:val="0"/>
            <w:vAlign w:val="center"/>
          </w:tcPr>
          <w:p w14:paraId="77C0B652">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SJ/T 11346—2015</w:t>
            </w:r>
          </w:p>
        </w:tc>
      </w:tr>
      <w:tr w14:paraId="71E54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0A940178">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18</w:t>
            </w:r>
          </w:p>
        </w:tc>
        <w:tc>
          <w:tcPr>
            <w:tcW w:w="5523" w:type="dxa"/>
            <w:noWrap w:val="0"/>
            <w:vAlign w:val="center"/>
          </w:tcPr>
          <w:p w14:paraId="31A159BE">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基色色度不均匀性</w:t>
            </w:r>
          </w:p>
        </w:tc>
        <w:tc>
          <w:tcPr>
            <w:tcW w:w="2659" w:type="dxa"/>
            <w:noWrap w:val="0"/>
            <w:vAlign w:val="center"/>
          </w:tcPr>
          <w:p w14:paraId="0C91A995">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SJ/T 11346—2015</w:t>
            </w:r>
          </w:p>
        </w:tc>
      </w:tr>
      <w:tr w14:paraId="41EF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1E93E057">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19</w:t>
            </w:r>
          </w:p>
        </w:tc>
        <w:tc>
          <w:tcPr>
            <w:tcW w:w="5523" w:type="dxa"/>
            <w:noWrap w:val="0"/>
            <w:vAlign w:val="center"/>
          </w:tcPr>
          <w:p w14:paraId="62F68383">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白色色度不均匀性</w:t>
            </w:r>
          </w:p>
        </w:tc>
        <w:tc>
          <w:tcPr>
            <w:tcW w:w="2659" w:type="dxa"/>
            <w:noWrap w:val="0"/>
            <w:vAlign w:val="center"/>
          </w:tcPr>
          <w:p w14:paraId="1A712135">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SJ/T 11346—2015</w:t>
            </w:r>
          </w:p>
        </w:tc>
      </w:tr>
      <w:tr w14:paraId="475B2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5" w:type="dxa"/>
            <w:noWrap w:val="0"/>
            <w:vAlign w:val="center"/>
          </w:tcPr>
          <w:p w14:paraId="72C85DF2">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20</w:t>
            </w:r>
          </w:p>
        </w:tc>
        <w:tc>
          <w:tcPr>
            <w:tcW w:w="5523" w:type="dxa"/>
            <w:noWrap w:val="0"/>
            <w:vAlign w:val="center"/>
          </w:tcPr>
          <w:p w14:paraId="55D1DA18">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工作噪声</w:t>
            </w:r>
          </w:p>
        </w:tc>
        <w:tc>
          <w:tcPr>
            <w:tcW w:w="2659" w:type="dxa"/>
            <w:noWrap w:val="0"/>
            <w:vAlign w:val="center"/>
          </w:tcPr>
          <w:p w14:paraId="1B1D4B6C">
            <w:pPr>
              <w:keepNext w:val="0"/>
              <w:keepLines w:val="0"/>
              <w:pageBreakBefore w:val="0"/>
              <w:widowControl w:val="0"/>
              <w:kinsoku/>
              <w:wordWrap/>
              <w:overflowPunct/>
              <w:topLinePunct w:val="0"/>
              <w:autoSpaceDN/>
              <w:bidi w:val="0"/>
              <w:adjustRightInd/>
              <w:spacing w:line="560" w:lineRule="exact"/>
              <w:jc w:val="center"/>
              <w:textAlignment w:val="auto"/>
              <w:rPr>
                <w:rFonts w:hint="eastAsia"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SJ/T 11346—2015</w:t>
            </w:r>
          </w:p>
        </w:tc>
      </w:tr>
    </w:tbl>
    <w:p w14:paraId="1E7CA111">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执行企业标准、团体标准、地方标准的产品，检验项目参照上述内容执行。</w:t>
      </w:r>
    </w:p>
    <w:p w14:paraId="0AC7C812">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凡是注日期的文件，其随后所有的修改单（不包括勘误的内容）或修订版不适用于本细则。凡是不注日期的文件，其最新版本适用于本细则。</w:t>
      </w:r>
    </w:p>
    <w:p w14:paraId="2DE7ABEC">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eastAsia="黑体" w:cs="Times New Roman"/>
          <w:color w:val="auto"/>
          <w:szCs w:val="32"/>
          <w:highlight w:val="none"/>
        </w:rPr>
      </w:pPr>
      <w:r>
        <w:rPr>
          <w:rFonts w:ascii="Times New Roman" w:hAnsi="Times New Roman" w:eastAsia="黑体" w:cs="Times New Roman"/>
          <w:color w:val="auto"/>
          <w:szCs w:val="32"/>
          <w:highlight w:val="none"/>
        </w:rPr>
        <w:t>3 判定规则</w:t>
      </w:r>
    </w:p>
    <w:p w14:paraId="044A9930">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eastAsia="楷体_GB2312" w:cs="楷体_GB2312"/>
          <w:color w:val="auto"/>
          <w:szCs w:val="40"/>
          <w:highlight w:val="none"/>
        </w:rPr>
      </w:pPr>
      <w:r>
        <w:rPr>
          <w:rFonts w:hint="eastAsia" w:ascii="Times New Roman" w:hAnsi="Times New Roman" w:eastAsia="楷体_GB2312" w:cs="楷体_GB2312"/>
          <w:color w:val="auto"/>
          <w:szCs w:val="40"/>
          <w:highlight w:val="none"/>
        </w:rPr>
        <w:t>3.1 依据标准</w:t>
      </w:r>
    </w:p>
    <w:p w14:paraId="52B0B123">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Cs w:val="40"/>
          <w:highlight w:val="none"/>
          <w:lang w:eastAsia="zh-CN"/>
        </w:rPr>
      </w:pPr>
      <w:r>
        <w:rPr>
          <w:rFonts w:hint="eastAsia" w:ascii="Times New Roman" w:hAnsi="Times New Roman" w:cs="仿宋_GB2312"/>
          <w:color w:val="auto"/>
          <w:szCs w:val="40"/>
          <w:highlight w:val="none"/>
        </w:rPr>
        <w:t>GB 4943.1—2022</w:t>
      </w:r>
      <w:r>
        <w:rPr>
          <w:rFonts w:hint="eastAsia" w:cs="仿宋_GB2312"/>
          <w:color w:val="auto"/>
          <w:szCs w:val="40"/>
          <w:highlight w:val="none"/>
          <w:lang w:eastAsia="zh-CN"/>
        </w:rPr>
        <w:t>《</w:t>
      </w:r>
      <w:r>
        <w:rPr>
          <w:rFonts w:hint="eastAsia" w:ascii="Times New Roman" w:hAnsi="Times New Roman" w:cs="仿宋_GB2312"/>
          <w:color w:val="auto"/>
          <w:szCs w:val="40"/>
          <w:highlight w:val="none"/>
        </w:rPr>
        <w:t>音视频、信息技术和通信技术设备</w:t>
      </w:r>
      <w:r>
        <w:rPr>
          <w:rFonts w:hint="eastAsia" w:cs="仿宋_GB2312"/>
          <w:color w:val="auto"/>
          <w:szCs w:val="40"/>
          <w:highlight w:val="none"/>
          <w:lang w:val="en-US" w:eastAsia="zh-CN"/>
        </w:rPr>
        <w:t xml:space="preserve"> </w:t>
      </w:r>
      <w:r>
        <w:rPr>
          <w:rFonts w:hint="eastAsia" w:ascii="Times New Roman" w:hAnsi="Times New Roman" w:cs="仿宋_GB2312"/>
          <w:color w:val="auto"/>
          <w:szCs w:val="40"/>
          <w:highlight w:val="none"/>
        </w:rPr>
        <w:t xml:space="preserve"> 第1部分：安全要求</w:t>
      </w:r>
      <w:r>
        <w:rPr>
          <w:rFonts w:hint="eastAsia" w:cs="仿宋_GB2312"/>
          <w:color w:val="auto"/>
          <w:szCs w:val="40"/>
          <w:highlight w:val="none"/>
          <w:lang w:eastAsia="zh-CN"/>
        </w:rPr>
        <w:t>》</w:t>
      </w:r>
    </w:p>
    <w:p w14:paraId="2FF43635">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Cs w:val="40"/>
          <w:highlight w:val="none"/>
          <w:lang w:eastAsia="zh-CN"/>
        </w:rPr>
      </w:pPr>
      <w:r>
        <w:rPr>
          <w:rFonts w:hint="eastAsia" w:ascii="Times New Roman" w:hAnsi="Times New Roman" w:cs="仿宋_GB2312"/>
          <w:color w:val="auto"/>
          <w:szCs w:val="40"/>
          <w:highlight w:val="none"/>
        </w:rPr>
        <w:t>GB 32028—2015</w:t>
      </w:r>
      <w:r>
        <w:rPr>
          <w:rFonts w:hint="eastAsia" w:cs="仿宋_GB2312"/>
          <w:color w:val="auto"/>
          <w:szCs w:val="40"/>
          <w:highlight w:val="none"/>
          <w:lang w:eastAsia="zh-CN"/>
        </w:rPr>
        <w:t>《</w:t>
      </w:r>
      <w:r>
        <w:rPr>
          <w:rFonts w:hint="eastAsia" w:ascii="Times New Roman" w:hAnsi="Times New Roman" w:cs="仿宋_GB2312"/>
          <w:color w:val="auto"/>
          <w:szCs w:val="40"/>
          <w:highlight w:val="none"/>
        </w:rPr>
        <w:t>投影机能效限定值及能效等级</w:t>
      </w:r>
      <w:r>
        <w:rPr>
          <w:rFonts w:hint="eastAsia" w:cs="仿宋_GB2312"/>
          <w:color w:val="auto"/>
          <w:szCs w:val="40"/>
          <w:highlight w:val="none"/>
          <w:lang w:eastAsia="zh-CN"/>
        </w:rPr>
        <w:t>》</w:t>
      </w:r>
    </w:p>
    <w:p w14:paraId="75CB9C8C">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Cs w:val="40"/>
          <w:highlight w:val="none"/>
          <w:lang w:eastAsia="zh-CN"/>
        </w:rPr>
      </w:pPr>
      <w:r>
        <w:rPr>
          <w:rFonts w:ascii="Times New Roman" w:hAnsi="Times New Roman" w:cs="仿宋_GB2312"/>
          <w:color w:val="auto"/>
          <w:szCs w:val="40"/>
          <w:highlight w:val="none"/>
        </w:rPr>
        <w:t>GB 32028—2025</w:t>
      </w:r>
      <w:r>
        <w:rPr>
          <w:rFonts w:hint="eastAsia" w:cs="仿宋_GB2312"/>
          <w:color w:val="auto"/>
          <w:szCs w:val="40"/>
          <w:highlight w:val="none"/>
          <w:lang w:eastAsia="zh-CN"/>
        </w:rPr>
        <w:t>《</w:t>
      </w:r>
      <w:r>
        <w:rPr>
          <w:rFonts w:hint="eastAsia" w:ascii="Times New Roman" w:hAnsi="Times New Roman" w:cs="仿宋_GB2312"/>
          <w:color w:val="auto"/>
          <w:szCs w:val="40"/>
          <w:highlight w:val="none"/>
        </w:rPr>
        <w:t>投影机能效限定值及能效等级</w:t>
      </w:r>
      <w:r>
        <w:rPr>
          <w:rFonts w:hint="eastAsia" w:cs="仿宋_GB2312"/>
          <w:color w:val="auto"/>
          <w:szCs w:val="40"/>
          <w:highlight w:val="none"/>
          <w:lang w:eastAsia="zh-CN"/>
        </w:rPr>
        <w:t>》</w:t>
      </w:r>
    </w:p>
    <w:p w14:paraId="72121DA2">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Cs w:val="40"/>
          <w:highlight w:val="none"/>
          <w:lang w:eastAsia="zh-CN"/>
        </w:rPr>
      </w:pPr>
      <w:r>
        <w:rPr>
          <w:rFonts w:hint="eastAsia" w:ascii="Times New Roman" w:hAnsi="Times New Roman" w:cs="仿宋_GB2312"/>
          <w:color w:val="auto"/>
          <w:szCs w:val="40"/>
          <w:highlight w:val="none"/>
        </w:rPr>
        <w:t>GB/T 9254.1—2021</w:t>
      </w:r>
      <w:r>
        <w:rPr>
          <w:rFonts w:hint="eastAsia" w:cs="仿宋_GB2312"/>
          <w:color w:val="auto"/>
          <w:szCs w:val="40"/>
          <w:highlight w:val="none"/>
          <w:lang w:eastAsia="zh-CN"/>
        </w:rPr>
        <w:t>《</w:t>
      </w:r>
      <w:r>
        <w:rPr>
          <w:rFonts w:hint="eastAsia" w:ascii="Times New Roman" w:hAnsi="Times New Roman" w:cs="仿宋_GB2312"/>
          <w:color w:val="auto"/>
          <w:szCs w:val="40"/>
          <w:highlight w:val="none"/>
        </w:rPr>
        <w:t>信息技术设备、多媒体设备和接收机 电磁兼容 第1部分：发射要求</w:t>
      </w:r>
      <w:r>
        <w:rPr>
          <w:rFonts w:hint="eastAsia" w:cs="仿宋_GB2312"/>
          <w:color w:val="auto"/>
          <w:szCs w:val="40"/>
          <w:highlight w:val="none"/>
          <w:lang w:eastAsia="zh-CN"/>
        </w:rPr>
        <w:t>》</w:t>
      </w:r>
    </w:p>
    <w:p w14:paraId="74DD5895">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Cs w:val="40"/>
          <w:highlight w:val="none"/>
          <w:lang w:eastAsia="zh-CN"/>
        </w:rPr>
      </w:pPr>
      <w:r>
        <w:rPr>
          <w:rFonts w:hint="eastAsia" w:ascii="Times New Roman" w:hAnsi="Times New Roman" w:cs="仿宋_GB2312"/>
          <w:color w:val="auto"/>
          <w:szCs w:val="40"/>
          <w:highlight w:val="none"/>
        </w:rPr>
        <w:t>SJ/T 11340—2015</w:t>
      </w:r>
      <w:r>
        <w:rPr>
          <w:rFonts w:hint="eastAsia" w:cs="仿宋_GB2312"/>
          <w:color w:val="auto"/>
          <w:szCs w:val="40"/>
          <w:highlight w:val="none"/>
          <w:lang w:eastAsia="zh-CN"/>
        </w:rPr>
        <w:t>《</w:t>
      </w:r>
      <w:r>
        <w:rPr>
          <w:rFonts w:hint="eastAsia" w:ascii="Times New Roman" w:hAnsi="Times New Roman" w:cs="仿宋_GB2312"/>
          <w:color w:val="auto"/>
          <w:szCs w:val="40"/>
          <w:highlight w:val="none"/>
        </w:rPr>
        <w:t>前投影机通用规范</w:t>
      </w:r>
      <w:r>
        <w:rPr>
          <w:rFonts w:hint="eastAsia" w:cs="仿宋_GB2312"/>
          <w:color w:val="auto"/>
          <w:szCs w:val="40"/>
          <w:highlight w:val="none"/>
          <w:lang w:eastAsia="zh-CN"/>
        </w:rPr>
        <w:t>》</w:t>
      </w:r>
    </w:p>
    <w:p w14:paraId="50658186">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hint="eastAsia" w:ascii="Times New Roman" w:hAnsi="Times New Roman" w:eastAsia="仿宋_GB2312" w:cs="仿宋_GB2312"/>
          <w:color w:val="auto"/>
          <w:szCs w:val="40"/>
          <w:highlight w:val="none"/>
          <w:lang w:eastAsia="zh-CN"/>
        </w:rPr>
      </w:pPr>
      <w:r>
        <w:rPr>
          <w:rFonts w:hint="eastAsia" w:ascii="Times New Roman" w:hAnsi="Times New Roman" w:cs="仿宋_GB2312"/>
          <w:color w:val="auto"/>
          <w:szCs w:val="40"/>
          <w:highlight w:val="none"/>
        </w:rPr>
        <w:t>SJ/T 11346—2015</w:t>
      </w:r>
      <w:r>
        <w:rPr>
          <w:rFonts w:hint="eastAsia" w:cs="仿宋_GB2312"/>
          <w:color w:val="auto"/>
          <w:szCs w:val="40"/>
          <w:highlight w:val="none"/>
          <w:lang w:eastAsia="zh-CN"/>
        </w:rPr>
        <w:t>《</w:t>
      </w:r>
      <w:r>
        <w:rPr>
          <w:rFonts w:hint="eastAsia" w:ascii="Times New Roman" w:hAnsi="Times New Roman" w:cs="仿宋_GB2312"/>
          <w:color w:val="auto"/>
          <w:szCs w:val="40"/>
          <w:highlight w:val="none"/>
        </w:rPr>
        <w:t>电子投影机测量方法</w:t>
      </w:r>
      <w:r>
        <w:rPr>
          <w:rFonts w:hint="eastAsia" w:cs="仿宋_GB2312"/>
          <w:color w:val="auto"/>
          <w:szCs w:val="40"/>
          <w:highlight w:val="none"/>
          <w:lang w:eastAsia="zh-CN"/>
        </w:rPr>
        <w:t>》</w:t>
      </w:r>
    </w:p>
    <w:p w14:paraId="0AEA2F9B">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现行有效的企业标准、团体标准、地方标准及产品明示质量要求</w:t>
      </w:r>
    </w:p>
    <w:p w14:paraId="4EDEE47C">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eastAsia="楷体_GB2312" w:cs="楷体_GB2312"/>
          <w:color w:val="auto"/>
          <w:szCs w:val="40"/>
          <w:highlight w:val="none"/>
        </w:rPr>
      </w:pPr>
      <w:r>
        <w:rPr>
          <w:rFonts w:hint="eastAsia" w:ascii="Times New Roman" w:hAnsi="Times New Roman" w:eastAsia="楷体_GB2312" w:cs="楷体_GB2312"/>
          <w:color w:val="auto"/>
          <w:szCs w:val="40"/>
          <w:highlight w:val="none"/>
        </w:rPr>
        <w:t>3.2 判定原则</w:t>
      </w:r>
    </w:p>
    <w:p w14:paraId="502A9A8B">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经检验，检验项目全部合格，判定为被抽查产品所检项目未发现不合格；检验项目中任一项或一项以上不合格，判定为被抽查产品不合格。</w:t>
      </w:r>
    </w:p>
    <w:p w14:paraId="63AC37DF">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若被检产品明示的质量要求高于本细则中检验项目依据的标准要求时，应按被检产品明示的质量要求判定。</w:t>
      </w:r>
    </w:p>
    <w:p w14:paraId="6024A8B8">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若被检产品明示的质量要求低于本细则中检验项目依据的强制性标准要求时，应按照强制性标准要求判定。</w:t>
      </w:r>
    </w:p>
    <w:p w14:paraId="5B7344D3">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若被检产品明示的质量要求低于或包含本细则中检验项目依据的推荐性标准要求时，应以被检产品明示的质量要求判定。</w:t>
      </w:r>
    </w:p>
    <w:p w14:paraId="188F3F1D">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若被检产品明示的质量要求缺少本细则中检验项目依据的强制性标准要求时，应按照强制性标准要求判定。</w:t>
      </w:r>
    </w:p>
    <w:p w14:paraId="4F288C4A">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若被检产品明示的质量要求缺少本细则中检验项目依据的推荐性标准要求时，该项目不参与判定。</w:t>
      </w:r>
    </w:p>
    <w:p w14:paraId="67B2B266"/>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74B47">
    <w:pPr>
      <w:pStyle w:val="3"/>
      <w:tabs>
        <w:tab w:val="left" w:pos="5594"/>
        <w:tab w:val="clear" w:pos="4153"/>
      </w:tabs>
      <w:rPr>
        <w:rFonts w:hint="eastAsia" w:eastAsia="仿宋_GB2312"/>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577BD5">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577BD5">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784E8C"/>
    <w:rsid w:val="07784E8C"/>
    <w:rsid w:val="144B7858"/>
    <w:rsid w:val="1E59156A"/>
    <w:rsid w:val="70932D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f803cf-b614-436d-8429-16b43dc56302}">
  <ds:schemaRefs/>
</ds:datastoreItem>
</file>

<file path=docProps/app.xml><?xml version="1.0" encoding="utf-8"?>
<Properties xmlns="http://schemas.openxmlformats.org/officeDocument/2006/extended-properties" xmlns:vt="http://schemas.openxmlformats.org/officeDocument/2006/docPropsVTypes">
  <Template>Normal.dotm</Template>
  <Pages>3</Pages>
  <Words>935</Words>
  <Characters>1226</Characters>
  <Lines>0</Lines>
  <Paragraphs>0</Paragraphs>
  <TotalTime>18</TotalTime>
  <ScaleCrop>false</ScaleCrop>
  <LinksUpToDate>false</LinksUpToDate>
  <CharactersWithSpaces>1263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2026-09-10T04:22:00Z</dcterms:created>
  <dc:creator>annieqiu</dc:creator>
  <cp:lastModifiedBy>邓雨文</cp:lastModifiedBy>
  <dcterms:modified xsi:type="dcterms:W3CDTF">2026-09-15T02:30:42Z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E6EF8489A96B4CDE86F82AF5EAF63B55_11</vt:lpwstr>
  </property>
  <property fmtid="{D5CDD505-2E9C-101B-9397-08002B2CF9AE}" pid="4" name="KSOTemplateDocerSaveRecord">
    <vt:lpwstr>eyJoZGlkIjoiMDE2ZTkyZTQyNTI0ODVjZGU0NDNlNTRkMTEzMmVkODEiLCJ1c2VySWQiOiI2MzY5NzAwMjQifQ==</vt:lpwstr>
  </property>
</Properties>
</file>