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54EE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附件15</w:t>
      </w:r>
    </w:p>
    <w:p w14:paraId="4F0E3D6D">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bookmarkStart w:id="1" w:name="_GoBack"/>
      <w:r>
        <w:rPr>
          <w:rFonts w:hint="eastAsia" w:ascii="Times New Roman" w:hAnsi="Times New Roman" w:eastAsia="方正小标宋简体" w:cs="方正小标宋简体"/>
          <w:color w:val="auto"/>
          <w:sz w:val="44"/>
          <w:szCs w:val="44"/>
          <w:highlight w:val="none"/>
          <w:lang w:val="en-US" w:eastAsia="zh-CN"/>
        </w:rPr>
        <w:t>车用尿素水溶液</w:t>
      </w:r>
      <w:r>
        <w:rPr>
          <w:rFonts w:hint="eastAsia" w:ascii="Times New Roman" w:hAnsi="Times New Roman" w:eastAsia="方正小标宋简体" w:cs="方正小标宋简体"/>
          <w:color w:val="auto"/>
          <w:sz w:val="44"/>
          <w:szCs w:val="44"/>
          <w:highlight w:val="none"/>
        </w:rPr>
        <w:t>产品质量</w:t>
      </w:r>
      <w:bookmarkEnd w:id="1"/>
    </w:p>
    <w:p w14:paraId="349ABE4F">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监督抽查实施细则</w:t>
      </w:r>
    </w:p>
    <w:p w14:paraId="3188A91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14:paraId="009348F3">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14:paraId="423410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1 抽样方法</w:t>
      </w:r>
    </w:p>
    <w:p w14:paraId="504EBDEB">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以随机抽样的方式在被抽样生产者、销售者的待销产品中抽取。</w:t>
      </w:r>
    </w:p>
    <w:p w14:paraId="7424EBC4">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随机数一般可使用随机数表等方法产生。</w:t>
      </w:r>
    </w:p>
    <w:p w14:paraId="640F0498">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每批次产品抽取两份</w:t>
      </w:r>
      <w:r>
        <w:rPr>
          <w:rFonts w:hint="eastAsia" w:ascii="Times New Roman" w:hAnsi="Times New Roman" w:eastAsia="仿宋_GB2312" w:cs="Times New Roman"/>
          <w:color w:val="auto"/>
          <w:sz w:val="32"/>
          <w:szCs w:val="32"/>
          <w:highlight w:val="none"/>
        </w:rPr>
        <w:t>，每份</w:t>
      </w:r>
      <w:r>
        <w:rPr>
          <w:rFonts w:hint="default" w:ascii="Times New Roman" w:hAnsi="Times New Roman" w:eastAsia="仿宋_GB2312" w:cs="Times New Roman"/>
          <w:color w:val="auto"/>
          <w:sz w:val="32"/>
          <w:szCs w:val="32"/>
          <w:highlight w:val="none"/>
        </w:rPr>
        <w:t>不</w:t>
      </w:r>
      <w:bookmarkStart w:id="0" w:name="_Hlk67497541"/>
      <w:r>
        <w:rPr>
          <w:rFonts w:hint="default" w:ascii="Times New Roman" w:hAnsi="Times New Roman" w:eastAsia="仿宋_GB2312" w:cs="Times New Roman"/>
          <w:color w:val="auto"/>
          <w:sz w:val="32"/>
          <w:szCs w:val="32"/>
          <w:highlight w:val="none"/>
        </w:rPr>
        <w:t>少</w:t>
      </w:r>
      <w:bookmarkEnd w:id="0"/>
      <w:r>
        <w:rPr>
          <w:rFonts w:hint="default" w:ascii="Times New Roman" w:hAnsi="Times New Roman" w:eastAsia="仿宋_GB2312" w:cs="Times New Roman"/>
          <w:color w:val="auto"/>
          <w:sz w:val="32"/>
          <w:szCs w:val="32"/>
          <w:highlight w:val="none"/>
        </w:rPr>
        <w:t>于</w:t>
      </w:r>
      <w:r>
        <w:rPr>
          <w:rFonts w:hint="eastAsia" w:ascii="Times New Roman" w:hAnsi="Times New Roman" w:eastAsia="仿宋_GB2312" w:cs="Times New Roman"/>
          <w:color w:val="auto"/>
          <w:sz w:val="32"/>
          <w:szCs w:val="32"/>
          <w:highlight w:val="none"/>
        </w:rPr>
        <w:t>2</w:t>
      </w:r>
      <w:r>
        <w:rPr>
          <w:rFonts w:hint="default" w:ascii="Times New Roman" w:hAnsi="Times New Roman" w:eastAsia="仿宋_GB2312" w:cs="Times New Roman"/>
          <w:color w:val="auto"/>
          <w:sz w:val="32"/>
          <w:szCs w:val="32"/>
          <w:highlight w:val="none"/>
        </w:rPr>
        <w:t>L</w:t>
      </w:r>
      <w:r>
        <w:rPr>
          <w:rFonts w:hint="eastAsia"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rPr>
        <w:t>如产品独立包装大于50L，使用符合GB 29518—2013《柴油发动机氮氧化物还原剂 尿素水溶液（AUS32）》附录I要求的包装物进行分装取样。其中1份作为检验样品，1份作为备用样品。</w:t>
      </w:r>
    </w:p>
    <w:p w14:paraId="6EF91E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2 检验依据</w:t>
      </w:r>
    </w:p>
    <w:tbl>
      <w:tblPr>
        <w:tblStyle w:val="4"/>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9"/>
        <w:gridCol w:w="1457"/>
        <w:gridCol w:w="3193"/>
        <w:gridCol w:w="3365"/>
      </w:tblGrid>
      <w:tr w14:paraId="2728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59" w:type="dxa"/>
            <w:noWrap w:val="0"/>
            <w:vAlign w:val="center"/>
          </w:tcPr>
          <w:p w14:paraId="44E2A429">
            <w:pPr>
              <w:keepNext w:val="0"/>
              <w:keepLines w:val="0"/>
              <w:pageBreakBefore w:val="0"/>
              <w:widowControl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序号</w:t>
            </w:r>
          </w:p>
        </w:tc>
        <w:tc>
          <w:tcPr>
            <w:tcW w:w="4650" w:type="dxa"/>
            <w:gridSpan w:val="2"/>
            <w:noWrap w:val="0"/>
            <w:vAlign w:val="center"/>
          </w:tcPr>
          <w:p w14:paraId="38A01799">
            <w:pPr>
              <w:keepNext w:val="0"/>
              <w:keepLines w:val="0"/>
              <w:pageBreakBefore w:val="0"/>
              <w:widowControl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检验项目</w:t>
            </w:r>
          </w:p>
        </w:tc>
        <w:tc>
          <w:tcPr>
            <w:tcW w:w="3365" w:type="dxa"/>
            <w:noWrap w:val="0"/>
            <w:vAlign w:val="center"/>
          </w:tcPr>
          <w:p w14:paraId="7B3F0242">
            <w:pPr>
              <w:keepNext w:val="0"/>
              <w:keepLines w:val="0"/>
              <w:pageBreakBefore w:val="0"/>
              <w:widowControl w:val="0"/>
              <w:kinsoku/>
              <w:wordWrap/>
              <w:overflowPunct/>
              <w:topLinePunct w:val="0"/>
              <w:autoSpaceDE/>
              <w:autoSpaceDN/>
              <w:bidi w:val="0"/>
              <w:spacing w:line="560" w:lineRule="exact"/>
              <w:jc w:val="center"/>
              <w:textAlignment w:val="auto"/>
              <w:rPr>
                <w:rFonts w:hint="eastAsia" w:ascii="Times New Roman" w:hAnsi="Times New Roman" w:eastAsia="仿宋_GB2312" w:cs="仿宋_GB2312"/>
                <w:b/>
                <w:bCs/>
                <w:color w:val="auto"/>
                <w:sz w:val="28"/>
                <w:szCs w:val="28"/>
                <w:highlight w:val="none"/>
                <w:lang w:bidi="ar"/>
              </w:rPr>
            </w:pPr>
            <w:r>
              <w:rPr>
                <w:rFonts w:hint="eastAsia" w:ascii="Times New Roman" w:hAnsi="Times New Roman" w:eastAsia="仿宋_GB2312" w:cs="仿宋_GB2312"/>
                <w:b/>
                <w:bCs/>
                <w:color w:val="auto"/>
                <w:sz w:val="28"/>
                <w:szCs w:val="28"/>
                <w:highlight w:val="none"/>
                <w:lang w:bidi="ar"/>
              </w:rPr>
              <w:t>检验方法</w:t>
            </w:r>
          </w:p>
        </w:tc>
      </w:tr>
      <w:tr w14:paraId="3B4C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noWrap w:val="0"/>
            <w:vAlign w:val="center"/>
          </w:tcPr>
          <w:p w14:paraId="4FB3506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1</w:t>
            </w:r>
          </w:p>
        </w:tc>
        <w:tc>
          <w:tcPr>
            <w:tcW w:w="4650" w:type="dxa"/>
            <w:gridSpan w:val="2"/>
            <w:noWrap w:val="0"/>
            <w:vAlign w:val="center"/>
          </w:tcPr>
          <w:p w14:paraId="4CA0D61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尿素含量（质量分数）</w:t>
            </w:r>
          </w:p>
        </w:tc>
        <w:tc>
          <w:tcPr>
            <w:tcW w:w="3365" w:type="dxa"/>
            <w:noWrap w:val="0"/>
            <w:vAlign w:val="center"/>
          </w:tcPr>
          <w:p w14:paraId="613190D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 29518—2013</w:t>
            </w:r>
          </w:p>
        </w:tc>
      </w:tr>
      <w:tr w14:paraId="450E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noWrap w:val="0"/>
            <w:vAlign w:val="center"/>
          </w:tcPr>
          <w:p w14:paraId="21DBF6A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2</w:t>
            </w:r>
          </w:p>
        </w:tc>
        <w:tc>
          <w:tcPr>
            <w:tcW w:w="4650" w:type="dxa"/>
            <w:gridSpan w:val="2"/>
            <w:noWrap w:val="0"/>
            <w:vAlign w:val="center"/>
          </w:tcPr>
          <w:p w14:paraId="7E79CF1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密度（20℃）</w:t>
            </w:r>
          </w:p>
        </w:tc>
        <w:tc>
          <w:tcPr>
            <w:tcW w:w="3365" w:type="dxa"/>
            <w:noWrap w:val="0"/>
            <w:vAlign w:val="center"/>
          </w:tcPr>
          <w:p w14:paraId="652370E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SH/T 0604—2000</w:t>
            </w:r>
          </w:p>
          <w:p w14:paraId="08E57AB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或（GB/T 1884—2000和GB/T 1885—1998）</w:t>
            </w:r>
          </w:p>
        </w:tc>
      </w:tr>
      <w:tr w14:paraId="714EB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noWrap w:val="0"/>
            <w:vAlign w:val="center"/>
          </w:tcPr>
          <w:p w14:paraId="09DEE38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3</w:t>
            </w:r>
          </w:p>
        </w:tc>
        <w:tc>
          <w:tcPr>
            <w:tcW w:w="4650" w:type="dxa"/>
            <w:gridSpan w:val="2"/>
            <w:noWrap w:val="0"/>
            <w:vAlign w:val="center"/>
          </w:tcPr>
          <w:p w14:paraId="31DDF9D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折光率</w:t>
            </w:r>
            <w:r>
              <w:rPr>
                <w:rFonts w:hint="default" w:ascii="Times New Roman" w:hAnsi="Times New Roman" w:eastAsia="仿宋_GB2312" w:cs="仿宋_GB2312"/>
                <w:color w:val="auto"/>
                <w:sz w:val="28"/>
                <w:szCs w:val="28"/>
                <w:highlight w:val="none"/>
                <w:vertAlign w:val="superscript"/>
                <w:lang w:val="en-US" w:eastAsia="zh-CN" w:bidi="ar"/>
              </w:rPr>
              <w:t>20</w:t>
            </w:r>
            <w:r>
              <w:rPr>
                <w:rFonts w:hint="default" w:ascii="Times New Roman" w:hAnsi="Times New Roman" w:eastAsia="仿宋_GB2312" w:cs="仿宋_GB2312"/>
                <w:color w:val="auto"/>
                <w:sz w:val="28"/>
                <w:szCs w:val="28"/>
                <w:highlight w:val="none"/>
                <w:lang w:val="en-US" w:eastAsia="zh-CN" w:bidi="ar"/>
              </w:rPr>
              <w:t>n</w:t>
            </w:r>
            <w:r>
              <w:rPr>
                <w:rFonts w:hint="default" w:ascii="Times New Roman" w:hAnsi="Times New Roman" w:eastAsia="仿宋_GB2312" w:cs="仿宋_GB2312"/>
                <w:color w:val="auto"/>
                <w:sz w:val="28"/>
                <w:szCs w:val="28"/>
                <w:highlight w:val="none"/>
                <w:vertAlign w:val="subscript"/>
                <w:lang w:val="en-US" w:eastAsia="zh-CN" w:bidi="ar"/>
              </w:rPr>
              <w:t>D</w:t>
            </w:r>
          </w:p>
        </w:tc>
        <w:tc>
          <w:tcPr>
            <w:tcW w:w="3365" w:type="dxa"/>
            <w:noWrap w:val="0"/>
            <w:vAlign w:val="center"/>
          </w:tcPr>
          <w:p w14:paraId="2272E4F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GB/T 614—2021</w:t>
            </w:r>
          </w:p>
        </w:tc>
      </w:tr>
      <w:tr w14:paraId="21189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restart"/>
            <w:noWrap w:val="0"/>
            <w:vAlign w:val="center"/>
          </w:tcPr>
          <w:p w14:paraId="1377740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4</w:t>
            </w:r>
          </w:p>
        </w:tc>
        <w:tc>
          <w:tcPr>
            <w:tcW w:w="1457" w:type="dxa"/>
            <w:vMerge w:val="restart"/>
            <w:noWrap w:val="0"/>
            <w:vAlign w:val="center"/>
          </w:tcPr>
          <w:p w14:paraId="3B66BB4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杂质含量</w:t>
            </w:r>
          </w:p>
        </w:tc>
        <w:tc>
          <w:tcPr>
            <w:tcW w:w="3193" w:type="dxa"/>
            <w:noWrap w:val="0"/>
            <w:vAlign w:val="center"/>
          </w:tcPr>
          <w:p w14:paraId="117B091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碱度（以NH</w:t>
            </w:r>
            <w:r>
              <w:rPr>
                <w:rFonts w:hint="default" w:ascii="Times New Roman" w:hAnsi="Times New Roman" w:eastAsia="仿宋_GB2312" w:cs="仿宋_GB2312"/>
                <w:color w:val="auto"/>
                <w:sz w:val="28"/>
                <w:szCs w:val="28"/>
                <w:highlight w:val="none"/>
                <w:vertAlign w:val="subscript"/>
                <w:lang w:val="en-US" w:eastAsia="zh-CN" w:bidi="ar"/>
              </w:rPr>
              <w:t>3</w:t>
            </w:r>
            <w:r>
              <w:rPr>
                <w:rFonts w:hint="default" w:ascii="Times New Roman" w:hAnsi="Times New Roman" w:eastAsia="仿宋_GB2312" w:cs="仿宋_GB2312"/>
                <w:color w:val="auto"/>
                <w:sz w:val="28"/>
                <w:szCs w:val="28"/>
                <w:highlight w:val="none"/>
                <w:lang w:val="en-US" w:eastAsia="zh-CN" w:bidi="ar"/>
              </w:rPr>
              <w:t>计）（质量分数）</w:t>
            </w:r>
          </w:p>
        </w:tc>
        <w:tc>
          <w:tcPr>
            <w:tcW w:w="3365" w:type="dxa"/>
            <w:noWrap w:val="0"/>
            <w:vAlign w:val="center"/>
          </w:tcPr>
          <w:p w14:paraId="100EC15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 29518—2013</w:t>
            </w:r>
          </w:p>
        </w:tc>
      </w:tr>
      <w:tr w14:paraId="022D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151DA2A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440182F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649B6BE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缩二脲（质量分数）</w:t>
            </w:r>
          </w:p>
        </w:tc>
        <w:tc>
          <w:tcPr>
            <w:tcW w:w="3365" w:type="dxa"/>
            <w:noWrap w:val="0"/>
            <w:vAlign w:val="center"/>
          </w:tcPr>
          <w:p w14:paraId="590C0EF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 29518—2013</w:t>
            </w:r>
          </w:p>
        </w:tc>
      </w:tr>
      <w:tr w14:paraId="4C92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2E95366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787842C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230A9F0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醛类（以HCHO计）</w:t>
            </w:r>
          </w:p>
        </w:tc>
        <w:tc>
          <w:tcPr>
            <w:tcW w:w="3365" w:type="dxa"/>
            <w:noWrap w:val="0"/>
            <w:vAlign w:val="center"/>
          </w:tcPr>
          <w:p w14:paraId="6C7B6A4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 29518—2013</w:t>
            </w:r>
          </w:p>
        </w:tc>
      </w:tr>
      <w:tr w14:paraId="25DC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4D525AF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3E03D7B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2129630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不溶物</w:t>
            </w:r>
          </w:p>
        </w:tc>
        <w:tc>
          <w:tcPr>
            <w:tcW w:w="3365" w:type="dxa"/>
            <w:noWrap w:val="0"/>
            <w:vAlign w:val="center"/>
          </w:tcPr>
          <w:p w14:paraId="6738DE5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 29518—2013</w:t>
            </w:r>
          </w:p>
        </w:tc>
      </w:tr>
      <w:tr w14:paraId="3F4C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58E4E53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4218A7B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2CDC66D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磷酸盐（以PO</w:t>
            </w:r>
            <w:r>
              <w:rPr>
                <w:rFonts w:hint="default" w:ascii="Times New Roman" w:hAnsi="Times New Roman" w:eastAsia="仿宋_GB2312" w:cs="仿宋_GB2312"/>
                <w:color w:val="auto"/>
                <w:sz w:val="28"/>
                <w:szCs w:val="28"/>
                <w:highlight w:val="none"/>
                <w:vertAlign w:val="subscript"/>
                <w:lang w:val="en-US" w:eastAsia="zh-CN" w:bidi="ar"/>
              </w:rPr>
              <w:t>4</w:t>
            </w:r>
            <w:r>
              <w:rPr>
                <w:rFonts w:hint="default" w:ascii="Times New Roman" w:hAnsi="Times New Roman" w:eastAsia="仿宋_GB2312" w:cs="仿宋_GB2312"/>
                <w:color w:val="auto"/>
                <w:sz w:val="28"/>
                <w:szCs w:val="28"/>
                <w:highlight w:val="none"/>
                <w:lang w:val="en-US" w:eastAsia="zh-CN" w:bidi="ar"/>
              </w:rPr>
              <w:t>计）</w:t>
            </w:r>
          </w:p>
        </w:tc>
        <w:tc>
          <w:tcPr>
            <w:tcW w:w="3365" w:type="dxa"/>
            <w:noWrap w:val="0"/>
            <w:vAlign w:val="center"/>
          </w:tcPr>
          <w:p w14:paraId="0314F07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 29518—2013</w:t>
            </w:r>
          </w:p>
        </w:tc>
      </w:tr>
      <w:tr w14:paraId="319A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486FE49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5BF5731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780DC68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钙</w:t>
            </w:r>
          </w:p>
        </w:tc>
        <w:tc>
          <w:tcPr>
            <w:tcW w:w="3365" w:type="dxa"/>
            <w:vMerge w:val="restart"/>
            <w:noWrap w:val="0"/>
            <w:vAlign w:val="center"/>
          </w:tcPr>
          <w:p w14:paraId="655E0E3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 29518—2013</w:t>
            </w:r>
          </w:p>
        </w:tc>
      </w:tr>
      <w:tr w14:paraId="17C2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619AC61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641E402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7FAE0BD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铁</w:t>
            </w:r>
          </w:p>
        </w:tc>
        <w:tc>
          <w:tcPr>
            <w:tcW w:w="3365" w:type="dxa"/>
            <w:vMerge w:val="continue"/>
            <w:noWrap w:val="0"/>
            <w:vAlign w:val="center"/>
          </w:tcPr>
          <w:p w14:paraId="74621D1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r>
      <w:tr w14:paraId="484B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13532F4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6684779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30AB731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铜</w:t>
            </w:r>
          </w:p>
        </w:tc>
        <w:tc>
          <w:tcPr>
            <w:tcW w:w="3365" w:type="dxa"/>
            <w:vMerge w:val="continue"/>
            <w:noWrap w:val="0"/>
            <w:vAlign w:val="center"/>
          </w:tcPr>
          <w:p w14:paraId="6674CEE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r>
      <w:tr w14:paraId="092C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690502F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2735E68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0271C0C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锌</w:t>
            </w:r>
          </w:p>
        </w:tc>
        <w:tc>
          <w:tcPr>
            <w:tcW w:w="3365" w:type="dxa"/>
            <w:vMerge w:val="continue"/>
            <w:noWrap w:val="0"/>
            <w:vAlign w:val="center"/>
          </w:tcPr>
          <w:p w14:paraId="58AA19B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r>
      <w:tr w14:paraId="6B69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3D6D0F0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2FD54C5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0DDCA1A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铬</w:t>
            </w:r>
          </w:p>
        </w:tc>
        <w:tc>
          <w:tcPr>
            <w:tcW w:w="3365" w:type="dxa"/>
            <w:vMerge w:val="continue"/>
            <w:noWrap w:val="0"/>
            <w:vAlign w:val="center"/>
          </w:tcPr>
          <w:p w14:paraId="62F6ABC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r>
      <w:tr w14:paraId="1517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4053A09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63669A1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326674F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镍</w:t>
            </w:r>
          </w:p>
        </w:tc>
        <w:tc>
          <w:tcPr>
            <w:tcW w:w="3365" w:type="dxa"/>
            <w:vMerge w:val="continue"/>
            <w:noWrap w:val="0"/>
            <w:vAlign w:val="center"/>
          </w:tcPr>
          <w:p w14:paraId="5C1BFB9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r>
      <w:tr w14:paraId="77AE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2C68CF0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12E5257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6247C04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铝</w:t>
            </w:r>
          </w:p>
        </w:tc>
        <w:tc>
          <w:tcPr>
            <w:tcW w:w="3365" w:type="dxa"/>
            <w:vMerge w:val="continue"/>
            <w:noWrap w:val="0"/>
            <w:vAlign w:val="center"/>
          </w:tcPr>
          <w:p w14:paraId="1209FED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r>
      <w:tr w14:paraId="2FEA7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79BAEAA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4F34556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78BE1A3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镁</w:t>
            </w:r>
          </w:p>
        </w:tc>
        <w:tc>
          <w:tcPr>
            <w:tcW w:w="3365" w:type="dxa"/>
            <w:vMerge w:val="continue"/>
            <w:noWrap w:val="0"/>
            <w:vAlign w:val="center"/>
          </w:tcPr>
          <w:p w14:paraId="27F9203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r>
      <w:tr w14:paraId="6C4D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0B3413B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56D2FC7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1E23D65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钠</w:t>
            </w:r>
          </w:p>
        </w:tc>
        <w:tc>
          <w:tcPr>
            <w:tcW w:w="3365" w:type="dxa"/>
            <w:vMerge w:val="continue"/>
            <w:noWrap w:val="0"/>
            <w:vAlign w:val="center"/>
          </w:tcPr>
          <w:p w14:paraId="7CBD482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r>
      <w:tr w14:paraId="1C974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vMerge w:val="continue"/>
            <w:noWrap w:val="0"/>
            <w:vAlign w:val="center"/>
          </w:tcPr>
          <w:p w14:paraId="1818CEA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1457" w:type="dxa"/>
            <w:vMerge w:val="continue"/>
            <w:noWrap w:val="0"/>
            <w:vAlign w:val="center"/>
          </w:tcPr>
          <w:p w14:paraId="71AEE2F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c>
          <w:tcPr>
            <w:tcW w:w="3193" w:type="dxa"/>
            <w:noWrap w:val="0"/>
            <w:vAlign w:val="center"/>
          </w:tcPr>
          <w:p w14:paraId="2911E7D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钾</w:t>
            </w:r>
          </w:p>
        </w:tc>
        <w:tc>
          <w:tcPr>
            <w:tcW w:w="3365" w:type="dxa"/>
            <w:vMerge w:val="continue"/>
            <w:noWrap w:val="0"/>
            <w:vAlign w:val="center"/>
          </w:tcPr>
          <w:p w14:paraId="34E276D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p>
        </w:tc>
      </w:tr>
      <w:tr w14:paraId="5D06C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59" w:type="dxa"/>
            <w:noWrap w:val="0"/>
            <w:vAlign w:val="center"/>
          </w:tcPr>
          <w:p w14:paraId="5D1261E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5</w:t>
            </w:r>
          </w:p>
        </w:tc>
        <w:tc>
          <w:tcPr>
            <w:tcW w:w="4650" w:type="dxa"/>
            <w:gridSpan w:val="2"/>
            <w:noWrap w:val="0"/>
            <w:vAlign w:val="center"/>
          </w:tcPr>
          <w:p w14:paraId="0594035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一致性确认</w:t>
            </w:r>
          </w:p>
        </w:tc>
        <w:tc>
          <w:tcPr>
            <w:tcW w:w="3365" w:type="dxa"/>
            <w:noWrap w:val="0"/>
            <w:vAlign w:val="center"/>
          </w:tcPr>
          <w:p w14:paraId="3F0B2F2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仿宋_GB2312"/>
                <w:color w:val="auto"/>
                <w:sz w:val="28"/>
                <w:szCs w:val="28"/>
                <w:highlight w:val="none"/>
                <w:lang w:val="en-US" w:eastAsia="zh-CN" w:bidi="ar"/>
              </w:rPr>
            </w:pPr>
            <w:r>
              <w:rPr>
                <w:rFonts w:hint="default" w:ascii="Times New Roman" w:hAnsi="Times New Roman" w:eastAsia="仿宋_GB2312" w:cs="仿宋_GB2312"/>
                <w:color w:val="auto"/>
                <w:sz w:val="28"/>
                <w:szCs w:val="28"/>
                <w:highlight w:val="none"/>
                <w:lang w:val="en-US" w:eastAsia="zh-CN" w:bidi="ar"/>
              </w:rPr>
              <w:t>GB 29518—2013</w:t>
            </w:r>
          </w:p>
        </w:tc>
      </w:tr>
    </w:tbl>
    <w:p w14:paraId="5B4F0910">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执行企业标准、团体标准、地方标准的产品，检验项目参照上述内容执行。</w:t>
      </w:r>
    </w:p>
    <w:p w14:paraId="2BEE0B49">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凡是注日期的文件，其随后所有的修改单（不包括勘误的内容）或修订版不适用于本细则。凡是不注日期的文件，其最新版本适用于本细则。</w:t>
      </w:r>
    </w:p>
    <w:p w14:paraId="6EE950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3 判定规则</w:t>
      </w:r>
    </w:p>
    <w:p w14:paraId="6D0D55ED">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eastAsia" w:ascii="Times New Roman" w:hAnsi="Times New Roman" w:eastAsia="楷体_GB2312" w:cs="楷体_GB2312"/>
          <w:color w:val="auto"/>
          <w:sz w:val="32"/>
          <w:szCs w:val="32"/>
          <w:highlight w:val="none"/>
        </w:rPr>
      </w:pPr>
      <w:r>
        <w:rPr>
          <w:rFonts w:hint="eastAsia" w:ascii="Times New Roman" w:hAnsi="Times New Roman" w:eastAsia="楷体_GB2312" w:cs="楷体_GB2312"/>
          <w:color w:val="auto"/>
          <w:sz w:val="32"/>
          <w:szCs w:val="32"/>
          <w:highlight w:val="none"/>
        </w:rPr>
        <w:t>3.1</w:t>
      </w:r>
      <w:r>
        <w:rPr>
          <w:rFonts w:hint="eastAsia" w:ascii="Times New Roman" w:hAnsi="Times New Roman" w:eastAsia="楷体_GB2312" w:cs="楷体_GB2312"/>
          <w:color w:val="auto"/>
          <w:sz w:val="32"/>
          <w:szCs w:val="32"/>
          <w:highlight w:val="none"/>
          <w:lang w:val="en-US" w:eastAsia="zh-CN"/>
        </w:rPr>
        <w:t xml:space="preserve"> </w:t>
      </w:r>
      <w:r>
        <w:rPr>
          <w:rFonts w:hint="eastAsia" w:ascii="Times New Roman" w:hAnsi="Times New Roman" w:eastAsia="楷体_GB2312" w:cs="楷体_GB2312"/>
          <w:color w:val="auto"/>
          <w:sz w:val="32"/>
          <w:szCs w:val="32"/>
          <w:highlight w:val="none"/>
        </w:rPr>
        <w:t>依据标准</w:t>
      </w:r>
    </w:p>
    <w:p w14:paraId="774A7C51">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GB 29518</w:t>
      </w:r>
      <w:r>
        <w:rPr>
          <w:rFonts w:hint="eastAsia" w:ascii="Times New Roman" w:hAnsi="Times New Roman"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2013 柴油发动机氮氧化物还原剂 尿素水溶液（AUS32）</w:t>
      </w:r>
    </w:p>
    <w:p w14:paraId="7B9444FE">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现行有效的企业标准、团体标准、地方标准及产品明示质量要求</w:t>
      </w:r>
    </w:p>
    <w:p w14:paraId="2B1CB3F2">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eastAsia" w:ascii="Times New Roman" w:hAnsi="Times New Roman" w:eastAsia="楷体_GB2312" w:cs="楷体_GB2312"/>
          <w:color w:val="auto"/>
          <w:sz w:val="32"/>
          <w:szCs w:val="32"/>
          <w:highlight w:val="none"/>
        </w:rPr>
      </w:pPr>
      <w:r>
        <w:rPr>
          <w:rFonts w:hint="eastAsia" w:ascii="Times New Roman" w:hAnsi="Times New Roman" w:eastAsia="楷体_GB2312" w:cs="楷体_GB2312"/>
          <w:color w:val="auto"/>
          <w:sz w:val="32"/>
          <w:szCs w:val="32"/>
          <w:highlight w:val="none"/>
        </w:rPr>
        <w:t>3.2</w:t>
      </w:r>
      <w:r>
        <w:rPr>
          <w:rFonts w:hint="eastAsia" w:ascii="Times New Roman" w:hAnsi="Times New Roman" w:eastAsia="楷体_GB2312" w:cs="楷体_GB2312"/>
          <w:color w:val="auto"/>
          <w:sz w:val="32"/>
          <w:szCs w:val="32"/>
          <w:highlight w:val="none"/>
          <w:lang w:val="en-US" w:eastAsia="zh-CN"/>
        </w:rPr>
        <w:t xml:space="preserve"> </w:t>
      </w:r>
      <w:r>
        <w:rPr>
          <w:rFonts w:hint="eastAsia" w:ascii="Times New Roman" w:hAnsi="Times New Roman" w:eastAsia="楷体_GB2312" w:cs="楷体_GB2312"/>
          <w:color w:val="auto"/>
          <w:sz w:val="32"/>
          <w:szCs w:val="32"/>
          <w:highlight w:val="none"/>
        </w:rPr>
        <w:t>判定原则</w:t>
      </w:r>
    </w:p>
    <w:p w14:paraId="1099D7AA">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经检验，检验项目全部合格，判定为被抽查产品</w:t>
      </w:r>
      <w:r>
        <w:rPr>
          <w:rFonts w:hint="eastAsia" w:ascii="Times New Roman" w:hAnsi="Times New Roman" w:eastAsia="仿宋_GB2312" w:cs="Times New Roman"/>
          <w:color w:val="auto"/>
          <w:sz w:val="32"/>
          <w:szCs w:val="32"/>
          <w:highlight w:val="none"/>
        </w:rPr>
        <w:t>所检项目未发现不</w:t>
      </w:r>
      <w:r>
        <w:rPr>
          <w:rFonts w:hint="default" w:ascii="Times New Roman" w:hAnsi="Times New Roman" w:eastAsia="仿宋_GB2312" w:cs="Times New Roman"/>
          <w:color w:val="auto"/>
          <w:sz w:val="32"/>
          <w:szCs w:val="32"/>
          <w:highlight w:val="none"/>
        </w:rPr>
        <w:t>合格；检验项目中任一项或一项以上不合格，判定为被抽查产品不合格。</w:t>
      </w:r>
    </w:p>
    <w:p w14:paraId="0E5EE2D3">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若被检产品明示的质量要求高于本细则中检验项目依据的标准要求时，应按被检产品明示的质量要求判定。</w:t>
      </w:r>
    </w:p>
    <w:p w14:paraId="37FDE598">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若被检产品明示的质量要求低于本细则中检验项目依据的强制性标准要求时，应按照强制性标准要求判定。</w:t>
      </w:r>
    </w:p>
    <w:p w14:paraId="4A2F44B0">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若被检产品明示的质量要求低于或包含本细则中检验项目依据的推荐性标准要求时，应以被检产品明示的质量要求判定。</w:t>
      </w:r>
    </w:p>
    <w:p w14:paraId="0EFB49CF">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若被检产品明示的质量要求缺少本细则中检验项目依据的强制性标准要求时，应按照强制性标准要求判定。</w:t>
      </w:r>
    </w:p>
    <w:p w14:paraId="477242B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lang w:eastAsia="zh-CN"/>
        </w:rPr>
      </w:pPr>
      <w:r>
        <w:rPr>
          <w:rFonts w:hint="default" w:ascii="Times New Roman" w:hAnsi="Times New Roman" w:eastAsia="仿宋_GB2312" w:cs="Times New Roman"/>
          <w:color w:val="auto"/>
          <w:sz w:val="32"/>
          <w:szCs w:val="32"/>
          <w:highlight w:val="none"/>
        </w:rPr>
        <w:t>若被检产品明示的质量要求缺少本细则中检验项目依据的推荐性标准要求时，该项目不参与判定</w:t>
      </w:r>
      <w:r>
        <w:rPr>
          <w:rFonts w:hint="eastAsia" w:ascii="Times New Roman" w:hAnsi="Times New Roman" w:cs="仿宋_GB2312"/>
          <w:color w:val="auto"/>
          <w:sz w:val="32"/>
          <w:szCs w:val="40"/>
          <w:highlight w:val="none"/>
          <w:lang w:eastAsia="zh-CN"/>
        </w:rPr>
        <w:t>。</w:t>
      </w:r>
    </w:p>
    <w:p w14:paraId="684A034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olor w:val="auto"/>
          <w:highlight w:val="none"/>
          <w:lang w:eastAsia="zh-CN"/>
        </w:rPr>
      </w:pPr>
    </w:p>
    <w:p w14:paraId="3D326EBF"/>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C2A76">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ED0C0">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CAED0C0">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FB4706"/>
    <w:rsid w:val="206770AC"/>
    <w:rsid w:val="26283D36"/>
    <w:rsid w:val="30062CC2"/>
    <w:rsid w:val="41FB4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28937235-7bc2-4ce1-ad67-66a29a2e7ca4</errorID>
      <errorWord> </errorWord>
      <group>L1_Punc</group>
      <groupName>标点问题</groupName>
      <ability>L2_Punc_CN</ability>
      <abilityName>标点符号问题</abilityName>
      <candidateList>
        <item/>
      </candidateList>
      <explain>此处空格冗余，建议删除。</explain>
      <paraID>640F0498</paraID>
      <start>48</start>
      <end>48</end>
      <status>modified</status>
      <modifiedWord/>
      <trackRevisions>false</trackRevisions>
    </reviewItem>
    <reviewItem>
      <errorID>5911ee51-db36-4df1-b2e0-0cd372ef00a0</errorID>
      <errorWord>（</errorWord>
      <group>L1_Punc</group>
      <groupName>标点问题</groupName>
      <ability>L2_Punc_CN</ability>
      <abilityName>标点符号问题</abilityName>
      <candidateList>
        <item/>
      </candidateList>
      <explain/>
      <paraID> 8E57AB4</paraID>
      <start>1</start>
      <end>2</end>
      <status>ignored</status>
      <modifiedWord/>
      <trackRevisions>false</trackRevisions>
    </reviewItem>
    <reviewItem>
      <errorID>a37410d4-cdd0-4064-a8d1-fd483b1269dc</errorID>
      <errorWord>）</errorWord>
      <group>L1_Punc</group>
      <groupName>标点问题</groupName>
      <ability>L2_Punc_CN</ability>
      <abilityName>标点符号问题</abilityName>
      <candidateList>
        <item/>
      </candidateList>
      <explain/>
      <paraID> 8E57AB4</paraID>
      <start>31</start>
      <end>32</end>
      <status>ignored</status>
      <modifiedWord/>
      <trackRevisions>false</trackRevisions>
    </reviewItem>
    <reviewItem>
      <errorID>87fb4e9a-1ee4-47f0-878c-4f89be9b9791</errorID>
      <errorWord>PO4</errorWord>
      <group>L1_Grammar</group>
      <groupName>语法问题</groupName>
      <ability>L2_Grammar</ability>
      <abilityName>语法错误</abilityName>
      <candidateList>
        <item>PO₄³⁻</item>
      </candidateList>
      <explain/>
      <paraID>2CDC66D8</paraID>
      <start>5</start>
      <end>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9377fd-e7c6-44fc-9c50-8135fca7e7db}">
  <ds:schemaRefs/>
</ds:datastoreItem>
</file>

<file path=docProps/app.xml><?xml version="1.0" encoding="utf-8"?>
<Properties xmlns="http://schemas.openxmlformats.org/officeDocument/2006/extended-properties" xmlns:vt="http://schemas.openxmlformats.org/officeDocument/2006/docPropsVTypes">
  <Template>Normal.dotm</Template>
  <Pages>3</Pages>
  <Words>756</Words>
  <Characters>928</Characters>
  <Lines>0</Lines>
  <Paragraphs>0</Paragraphs>
  <TotalTime>44</TotalTime>
  <ScaleCrop>false</ScaleCrop>
  <LinksUpToDate>false</LinksUpToDate>
  <CharactersWithSpaces>951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2026-09-07T07:51:00Z</dcterms:created>
  <dc:creator>annieqiu</dc:creator>
  <cp:lastModifiedBy>邓雨文</cp:lastModifiedBy>
  <dcterms:modified xsi:type="dcterms:W3CDTF">2026-09-15T03:23:25Z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D935414756C14117812AC1E6BDC34DBA_11</vt:lpwstr>
  </property>
  <property fmtid="{D5CDD505-2E9C-101B-9397-08002B2CF9AE}" pid="4" name="KSOTemplateDocerSaveRecord">
    <vt:lpwstr>eyJoZGlkIjoiMDE2ZTkyZTQyNTI0ODVjZGU0NDNlNTRkMTEzMmVkODEiLCJ1c2VySWQiOiI2MzY5NzAwMjQifQ==</vt:lpwstr>
  </property>
</Properties>
</file>