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04E1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szCs w:val="40"/>
          <w:highlight w:val="none"/>
          <w:lang w:val="en-US" w:eastAsia="zh-CN"/>
        </w:rPr>
      </w:pPr>
      <w:bookmarkStart w:id="0" w:name="_GoBack"/>
      <w:bookmarkEnd w:id="0"/>
      <w:r>
        <w:rPr>
          <w:rFonts w:hint="eastAsia" w:ascii="Times New Roman" w:hAnsi="Times New Roman" w:cs="Times New Roman"/>
          <w:color w:val="auto"/>
          <w:szCs w:val="40"/>
          <w:highlight w:val="none"/>
          <w:lang w:val="en-US" w:eastAsia="zh-CN"/>
        </w:rPr>
        <w:t>附件17</w:t>
      </w:r>
    </w:p>
    <w:p w14:paraId="111EF09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电焊机产品质量监督抽查实施细则</w:t>
      </w:r>
    </w:p>
    <w:p w14:paraId="1204684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（202</w:t>
      </w:r>
      <w:r>
        <w:rPr>
          <w:rFonts w:hint="eastAsia" w:ascii="Times New Roman" w:hAnsi="Times New Roman" w:eastAsia="方正小标宋简体" w:cs="方正小标宋简体"/>
          <w:color w:val="auto"/>
          <w:sz w:val="44"/>
          <w:szCs w:val="44"/>
          <w:highlight w:val="none"/>
          <w:lang w:val="en-US" w:eastAsia="zh-CN"/>
        </w:rPr>
        <w:t>6</w:t>
      </w:r>
      <w:r>
        <w:rPr>
          <w:rFonts w:hint="eastAsia" w:ascii="Times New Roman" w:hAnsi="Times New Roman" w:eastAsia="方正小标宋简体" w:cs="方正小标宋简体"/>
          <w:color w:val="auto"/>
          <w:sz w:val="44"/>
          <w:szCs w:val="44"/>
          <w:highlight w:val="none"/>
        </w:rPr>
        <w:t>年版）</w:t>
      </w:r>
    </w:p>
    <w:p w14:paraId="54685C96">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9E8B2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1 抽样方法</w:t>
      </w:r>
    </w:p>
    <w:p w14:paraId="6E669F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以随机抽样的方式在被抽查</w:t>
      </w:r>
      <w:r>
        <w:rPr>
          <w:rFonts w:hint="eastAsia" w:cs="Times New Roman"/>
          <w:color w:val="auto"/>
          <w:szCs w:val="40"/>
          <w:highlight w:val="none"/>
          <w:lang w:eastAsia="zh-CN"/>
        </w:rPr>
        <w:t>经营主体</w:t>
      </w:r>
      <w:r>
        <w:rPr>
          <w:rFonts w:ascii="Times New Roman" w:hAnsi="Times New Roman" w:cs="Times New Roman"/>
          <w:color w:val="auto"/>
          <w:szCs w:val="40"/>
          <w:highlight w:val="none"/>
        </w:rPr>
        <w:t>的待销产品中抽取2个样品。</w:t>
      </w:r>
    </w:p>
    <w:p w14:paraId="0EC1BF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随机数一般可使用随机数表等方法产生。</w:t>
      </w:r>
    </w:p>
    <w:p w14:paraId="5DF72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抽查数量：每批次产品抽取2台样品，第1台用于检验，第2台用于备样，抽样基数不限。抽样时对检验样品和备用样品应分别签封，检验样品随同企业提供的资料等由抽样人员带回检测机构，备用样品封存于被抽查</w:t>
      </w:r>
      <w:r>
        <w:rPr>
          <w:rFonts w:hint="eastAsia" w:ascii="Times New Roman" w:hAnsi="Times New Roman" w:cs="Times New Roman"/>
          <w:color w:val="auto"/>
          <w:szCs w:val="40"/>
          <w:highlight w:val="none"/>
        </w:rPr>
        <w:t>经营</w:t>
      </w:r>
      <w:r>
        <w:rPr>
          <w:rFonts w:ascii="Times New Roman" w:hAnsi="Times New Roman" w:cs="Times New Roman"/>
          <w:color w:val="auto"/>
          <w:szCs w:val="40"/>
          <w:highlight w:val="none"/>
        </w:rPr>
        <w:t>主体。</w:t>
      </w:r>
    </w:p>
    <w:p w14:paraId="23C255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szCs w:val="40"/>
          <w:highlight w:val="none"/>
        </w:rPr>
      </w:pPr>
      <w:r>
        <w:rPr>
          <w:rFonts w:ascii="Times New Roman" w:hAnsi="Times New Roman" w:cs="Times New Roman"/>
          <w:color w:val="auto"/>
          <w:szCs w:val="40"/>
          <w:highlight w:val="none"/>
        </w:rPr>
        <w:t>其他注意事项：抽查过程中应提供产品正常使用时所需的附件、合格证、使用说明书或技术样本、营业执照、CCC自我声明或自愿认证证书，最新型式试验报告或者自愿认证报告等。</w:t>
      </w:r>
      <w:r>
        <w:rPr>
          <w:rFonts w:hint="eastAsia" w:ascii="Times New Roman" w:hAnsi="Times New Roman" w:cs="Times New Roman"/>
          <w:color w:val="auto"/>
          <w:szCs w:val="40"/>
          <w:highlight w:val="none"/>
        </w:rPr>
        <w:t>若存在辅助设备</w:t>
      </w:r>
      <w:r>
        <w:rPr>
          <w:rFonts w:hint="eastAsia" w:cs="Times New Roman"/>
          <w:color w:val="auto"/>
          <w:szCs w:val="40"/>
          <w:highlight w:val="none"/>
          <w:lang w:eastAsia="zh-CN"/>
        </w:rPr>
        <w:t>（</w:t>
      </w:r>
      <w:r>
        <w:rPr>
          <w:rFonts w:hint="eastAsia" w:ascii="Times New Roman" w:hAnsi="Times New Roman" w:cs="Times New Roman"/>
          <w:color w:val="auto"/>
          <w:szCs w:val="40"/>
          <w:highlight w:val="none"/>
        </w:rPr>
        <w:t>如送丝机</w:t>
      </w:r>
      <w:r>
        <w:rPr>
          <w:rFonts w:hint="eastAsia" w:cs="Times New Roman"/>
          <w:color w:val="auto"/>
          <w:szCs w:val="40"/>
          <w:highlight w:val="none"/>
          <w:lang w:eastAsia="zh-CN"/>
        </w:rPr>
        <w:t>）</w:t>
      </w:r>
      <w:r>
        <w:rPr>
          <w:rFonts w:hint="eastAsia" w:ascii="Times New Roman" w:hAnsi="Times New Roman" w:cs="Times New Roman"/>
          <w:color w:val="auto"/>
          <w:szCs w:val="40"/>
          <w:highlight w:val="none"/>
        </w:rPr>
        <w:t>，也要一并带回。</w:t>
      </w:r>
    </w:p>
    <w:p w14:paraId="57E9B4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2 检验依据</w:t>
      </w:r>
    </w:p>
    <w:tbl>
      <w:tblPr>
        <w:tblStyle w:val="5"/>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277"/>
        <w:gridCol w:w="4847"/>
      </w:tblGrid>
      <w:tr w14:paraId="7726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37" w:type="dxa"/>
            <w:noWrap w:val="0"/>
            <w:vAlign w:val="center"/>
          </w:tcPr>
          <w:p w14:paraId="1ABA87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lang w:bidi="ar"/>
              </w:rPr>
            </w:pPr>
            <w:r>
              <w:rPr>
                <w:rFonts w:ascii="Times New Roman" w:hAnsi="Times New Roman" w:cs="Times New Roman"/>
                <w:b/>
                <w:bCs/>
                <w:color w:val="auto"/>
                <w:sz w:val="28"/>
                <w:szCs w:val="28"/>
                <w:highlight w:val="none"/>
                <w:lang w:bidi="ar"/>
              </w:rPr>
              <w:t>序号</w:t>
            </w:r>
          </w:p>
        </w:tc>
        <w:tc>
          <w:tcPr>
            <w:tcW w:w="3277" w:type="dxa"/>
            <w:noWrap w:val="0"/>
            <w:vAlign w:val="center"/>
          </w:tcPr>
          <w:p w14:paraId="7AD3D0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lang w:bidi="ar"/>
              </w:rPr>
            </w:pPr>
            <w:r>
              <w:rPr>
                <w:rFonts w:ascii="Times New Roman" w:hAnsi="Times New Roman" w:cs="Times New Roman"/>
                <w:b/>
                <w:bCs/>
                <w:color w:val="auto"/>
                <w:sz w:val="28"/>
                <w:szCs w:val="28"/>
                <w:highlight w:val="none"/>
                <w:lang w:bidi="ar"/>
              </w:rPr>
              <w:t>检验项目</w:t>
            </w:r>
          </w:p>
        </w:tc>
        <w:tc>
          <w:tcPr>
            <w:tcW w:w="4847" w:type="dxa"/>
            <w:noWrap w:val="0"/>
            <w:vAlign w:val="center"/>
          </w:tcPr>
          <w:p w14:paraId="1B32C5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lang w:bidi="ar"/>
              </w:rPr>
            </w:pPr>
            <w:r>
              <w:rPr>
                <w:rFonts w:ascii="Times New Roman" w:hAnsi="Times New Roman" w:cs="Times New Roman"/>
                <w:b/>
                <w:bCs/>
                <w:color w:val="auto"/>
                <w:sz w:val="28"/>
                <w:szCs w:val="28"/>
                <w:highlight w:val="none"/>
                <w:lang w:bidi="ar"/>
              </w:rPr>
              <w:t>检验方法</w:t>
            </w:r>
          </w:p>
        </w:tc>
      </w:tr>
      <w:tr w14:paraId="497B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4F1EC1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277" w:type="dxa"/>
            <w:noWrap w:val="0"/>
            <w:vAlign w:val="center"/>
          </w:tcPr>
          <w:p w14:paraId="55C7DC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铭牌</w:t>
            </w:r>
          </w:p>
        </w:tc>
        <w:tc>
          <w:tcPr>
            <w:tcW w:w="4847" w:type="dxa"/>
            <w:noWrap w:val="0"/>
            <w:vAlign w:val="center"/>
          </w:tcPr>
          <w:p w14:paraId="096557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2024条款15</w:t>
            </w:r>
          </w:p>
          <w:p w14:paraId="50AAF3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2013条款15</w:t>
            </w:r>
          </w:p>
        </w:tc>
      </w:tr>
      <w:tr w14:paraId="56C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7D99F3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277" w:type="dxa"/>
            <w:noWrap w:val="0"/>
            <w:vAlign w:val="center"/>
          </w:tcPr>
          <w:p w14:paraId="1463F4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绝缘电阻</w:t>
            </w:r>
          </w:p>
        </w:tc>
        <w:tc>
          <w:tcPr>
            <w:tcW w:w="4847" w:type="dxa"/>
            <w:noWrap w:val="0"/>
            <w:vAlign w:val="center"/>
          </w:tcPr>
          <w:p w14:paraId="525CD1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2024条款6.1.4</w:t>
            </w:r>
          </w:p>
          <w:p w14:paraId="506D04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2013条款6.1.4</w:t>
            </w:r>
          </w:p>
        </w:tc>
      </w:tr>
      <w:tr w14:paraId="27B4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3B2B99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277" w:type="dxa"/>
            <w:noWrap w:val="0"/>
            <w:vAlign w:val="center"/>
          </w:tcPr>
          <w:p w14:paraId="71501E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介电强度</w:t>
            </w:r>
          </w:p>
        </w:tc>
        <w:tc>
          <w:tcPr>
            <w:tcW w:w="4847" w:type="dxa"/>
            <w:noWrap w:val="0"/>
            <w:vAlign w:val="center"/>
          </w:tcPr>
          <w:p w14:paraId="2AE570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2024条款6.1.5</w:t>
            </w:r>
          </w:p>
          <w:p w14:paraId="47BCA6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2013条款6.1.5</w:t>
            </w:r>
          </w:p>
        </w:tc>
      </w:tr>
      <w:tr w14:paraId="018B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300232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277" w:type="dxa"/>
            <w:noWrap w:val="0"/>
            <w:vAlign w:val="center"/>
          </w:tcPr>
          <w:p w14:paraId="5A333E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外壳防护</w:t>
            </w:r>
          </w:p>
        </w:tc>
        <w:tc>
          <w:tcPr>
            <w:tcW w:w="4847" w:type="dxa"/>
            <w:noWrap w:val="0"/>
            <w:vAlign w:val="center"/>
          </w:tcPr>
          <w:p w14:paraId="0F833A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2024条款6.2.1</w:t>
            </w:r>
          </w:p>
          <w:p w14:paraId="554D15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2013条款6.2.1</w:t>
            </w:r>
          </w:p>
        </w:tc>
      </w:tr>
      <w:tr w14:paraId="7C8A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591664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277" w:type="dxa"/>
            <w:noWrap w:val="0"/>
            <w:vAlign w:val="center"/>
          </w:tcPr>
          <w:p w14:paraId="28BF72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发热试验和温升限值</w:t>
            </w:r>
          </w:p>
        </w:tc>
        <w:tc>
          <w:tcPr>
            <w:tcW w:w="4847" w:type="dxa"/>
            <w:noWrap w:val="0"/>
            <w:vAlign w:val="center"/>
          </w:tcPr>
          <w:p w14:paraId="478FC2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2024条款7.1和条款7.3</w:t>
            </w:r>
          </w:p>
          <w:p w14:paraId="6887A6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2013条款7.1和条款7.3</w:t>
            </w:r>
          </w:p>
        </w:tc>
      </w:tr>
      <w:tr w14:paraId="6273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5E38E0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277" w:type="dxa"/>
            <w:noWrap w:val="0"/>
            <w:vAlign w:val="center"/>
          </w:tcPr>
          <w:p w14:paraId="17BABC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动作</w:t>
            </w:r>
          </w:p>
        </w:tc>
        <w:tc>
          <w:tcPr>
            <w:tcW w:w="4847" w:type="dxa"/>
            <w:noWrap w:val="0"/>
            <w:vAlign w:val="center"/>
          </w:tcPr>
          <w:p w14:paraId="3C53DA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2024条款8.5</w:t>
            </w:r>
          </w:p>
          <w:p w14:paraId="30721C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2013条款9.4</w:t>
            </w:r>
          </w:p>
        </w:tc>
      </w:tr>
      <w:tr w14:paraId="16A2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328B6A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7</w:t>
            </w:r>
          </w:p>
        </w:tc>
        <w:tc>
          <w:tcPr>
            <w:tcW w:w="3277" w:type="dxa"/>
            <w:noWrap w:val="0"/>
            <w:vAlign w:val="center"/>
          </w:tcPr>
          <w:p w14:paraId="4862AE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复位</w:t>
            </w:r>
          </w:p>
        </w:tc>
        <w:tc>
          <w:tcPr>
            <w:tcW w:w="4847" w:type="dxa"/>
            <w:noWrap w:val="0"/>
            <w:vAlign w:val="center"/>
          </w:tcPr>
          <w:p w14:paraId="3D9095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2024条款8.6</w:t>
            </w:r>
          </w:p>
          <w:p w14:paraId="5CEFC2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15579.1</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2013条款9.5</w:t>
            </w:r>
          </w:p>
        </w:tc>
      </w:tr>
      <w:tr w14:paraId="2646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7" w:type="dxa"/>
            <w:noWrap w:val="0"/>
            <w:vAlign w:val="center"/>
          </w:tcPr>
          <w:p w14:paraId="1AD422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8</w:t>
            </w:r>
          </w:p>
        </w:tc>
        <w:tc>
          <w:tcPr>
            <w:tcW w:w="3277" w:type="dxa"/>
            <w:noWrap w:val="0"/>
            <w:vAlign w:val="center"/>
          </w:tcPr>
          <w:p w14:paraId="535D43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能效</w:t>
            </w:r>
          </w:p>
        </w:tc>
        <w:tc>
          <w:tcPr>
            <w:tcW w:w="4847" w:type="dxa"/>
            <w:noWrap w:val="0"/>
            <w:vAlign w:val="center"/>
          </w:tcPr>
          <w:p w14:paraId="751D5B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28736</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2019</w:t>
            </w:r>
          </w:p>
        </w:tc>
      </w:tr>
    </w:tbl>
    <w:p w14:paraId="241536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执行企业标准、团体标准、地方标准的产品，检验项目参照上述内容执行。</w:t>
      </w:r>
    </w:p>
    <w:p w14:paraId="084C4B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凡是注日期的文件，其随后所有的修改单（不包括勘误的内容）或修订版不适用于本细则。凡是不注日期的文件，其最新版本适用于本细则。</w:t>
      </w:r>
    </w:p>
    <w:p w14:paraId="17830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3 判定规则</w:t>
      </w:r>
    </w:p>
    <w:p w14:paraId="752D3F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3.1 依据标准</w:t>
      </w:r>
    </w:p>
    <w:p w14:paraId="47C8E0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GB/T 15579.1</w:t>
      </w:r>
      <w:r>
        <w:rPr>
          <w:rFonts w:hint="eastAsia" w:ascii="Times New Roman" w:hAnsi="Times New Roman" w:cs="Times New Roman"/>
          <w:color w:val="auto"/>
          <w:szCs w:val="40"/>
          <w:highlight w:val="none"/>
          <w:lang w:eastAsia="zh-CN"/>
        </w:rPr>
        <w:t>—</w:t>
      </w:r>
      <w:r>
        <w:rPr>
          <w:rFonts w:ascii="Times New Roman" w:hAnsi="Times New Roman" w:cs="Times New Roman"/>
          <w:color w:val="auto"/>
          <w:szCs w:val="40"/>
          <w:highlight w:val="none"/>
        </w:rPr>
        <w:t>2024《弧焊设备 第1部分：焊接电源》</w:t>
      </w:r>
    </w:p>
    <w:p w14:paraId="629CBE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GB/T 15579.1</w:t>
      </w:r>
      <w:r>
        <w:rPr>
          <w:rFonts w:hint="eastAsia" w:ascii="Times New Roman" w:hAnsi="Times New Roman" w:cs="Times New Roman"/>
          <w:color w:val="auto"/>
          <w:szCs w:val="40"/>
          <w:highlight w:val="none"/>
          <w:lang w:eastAsia="zh-CN"/>
        </w:rPr>
        <w:t>—</w:t>
      </w:r>
      <w:r>
        <w:rPr>
          <w:rFonts w:ascii="Times New Roman" w:hAnsi="Times New Roman" w:cs="Times New Roman"/>
          <w:color w:val="auto"/>
          <w:szCs w:val="40"/>
          <w:highlight w:val="none"/>
        </w:rPr>
        <w:t>2013《弧焊设备 第1部分：焊接电源》</w:t>
      </w:r>
    </w:p>
    <w:p w14:paraId="03CDE9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GB 28736</w:t>
      </w:r>
      <w:r>
        <w:rPr>
          <w:rFonts w:hint="eastAsia" w:ascii="Times New Roman" w:hAnsi="Times New Roman" w:cs="Times New Roman"/>
          <w:color w:val="auto"/>
          <w:szCs w:val="40"/>
          <w:highlight w:val="none"/>
          <w:lang w:eastAsia="zh-CN"/>
        </w:rPr>
        <w:t>—</w:t>
      </w:r>
      <w:r>
        <w:rPr>
          <w:rFonts w:ascii="Times New Roman" w:hAnsi="Times New Roman" w:cs="Times New Roman"/>
          <w:color w:val="auto"/>
          <w:szCs w:val="40"/>
          <w:highlight w:val="none"/>
        </w:rPr>
        <w:t>2019《电焊机能效限定值及能效等级》</w:t>
      </w:r>
    </w:p>
    <w:p w14:paraId="1A6CDD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现行有效的企业标准、团体标准、地方标准及产品明示质量要求</w:t>
      </w:r>
    </w:p>
    <w:p w14:paraId="32805D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3.2 判定原则</w:t>
      </w:r>
    </w:p>
    <w:p w14:paraId="0F3B3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经检验，检验项目全部合格，判定为被抽查产品所检项目未发现不合格；检验项目中任一项或一项以上不合格，判定为被抽查产品不合格。</w:t>
      </w:r>
    </w:p>
    <w:p w14:paraId="2698B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若被检产品明示的质量要求高于本细则中检验项目依据的标准要求时，应按被检产品明示的质量要求判定。</w:t>
      </w:r>
    </w:p>
    <w:p w14:paraId="747DFE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若被检产品明示的质量要求低于本细则中检验项目依据的强制性标准要求时，应按照强制性标准要求判定。</w:t>
      </w:r>
    </w:p>
    <w:p w14:paraId="14179E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若被检产品明示的质量要求低于或包含本细则中检验项目依据的推荐性标准要求时，应以被检产品明示的质量要求判定。</w:t>
      </w:r>
    </w:p>
    <w:p w14:paraId="24B58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若被检产品明示的质量要求缺少本细则中检验项目依据的强制性标准要求时，应按照强制性标准要求判定。</w:t>
      </w:r>
    </w:p>
    <w:p w14:paraId="6EF637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若被检产品明示的质量要求缺少本细则中检验项目依据的推荐性标准要求时，该项目不参与判定。</w:t>
      </w:r>
    </w:p>
    <w:p w14:paraId="3350D6AA"/>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C8E0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A302D">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4A302D">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856099"/>
    <w:rsid w:val="1A6E0F87"/>
    <w:rsid w:val="41D33672"/>
    <w:rsid w:val="4B856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b3e7de-0f39-48a1-84d9-e7d1d390c2c5}">
  <ds:schemaRefs/>
</ds:datastoreItem>
</file>

<file path=docProps/app.xml><?xml version="1.0" encoding="utf-8"?>
<Properties xmlns="http://schemas.openxmlformats.org/officeDocument/2006/extended-properties" xmlns:vt="http://schemas.openxmlformats.org/officeDocument/2006/docPropsVTypes">
  <Template>Normal.dotm</Template>
  <Pages>3</Pages>
  <Words>930</Words>
  <Characters>1190</Characters>
  <Lines>0</Lines>
  <Paragraphs>0</Paragraphs>
  <TotalTime>0</TotalTime>
  <ScaleCrop>false</ScaleCrop>
  <LinksUpToDate>false</LinksUpToDate>
  <CharactersWithSpaces>1215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2026-09-07T07:37:00Z</dcterms:created>
  <dc:creator>annieqiu</dc:creator>
  <cp:lastModifiedBy>邓雨文</cp:lastModifiedBy>
  <dcterms:modified xsi:type="dcterms:W3CDTF">2026-09-15T03:24:08Z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1AC86C6FF2CC448FBC13680D6A7D49A3_11</vt:lpwstr>
  </property>
  <property fmtid="{D5CDD505-2E9C-101B-9397-08002B2CF9AE}" pid="4" name="KSOTemplateDocerSaveRecord">
    <vt:lpwstr>eyJoZGlkIjoiMDE2ZTkyZTQyNTI0ODVjZGU0NDNlNTRkMTEzMmVkODEiLCJ1c2VySWQiOiI2MzY5NzAwMjQifQ==</vt:lpwstr>
  </property>
</Properties>
</file>