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after="0" w:line="520" w:lineRule="exact"/>
        <w:jc w:val="both"/>
        <w:rPr>
          <w:rFonts w:ascii="微软雅黑" w:eastAsia="微软雅黑" w:cs="微软雅黑"/>
          <w:sz w:val="32"/>
          <w:szCs w:val="32"/>
          <w:lang w:eastAsia="zh-CN"/>
        </w:rPr>
      </w:pPr>
      <w:r>
        <w:rPr>
          <w:rFonts w:ascii="微软雅黑" w:eastAsia="微软雅黑" w:cs="微软雅黑"/>
          <w:sz w:val="32"/>
          <w:szCs w:val="32"/>
          <w:lang w:eastAsia="zh-CN"/>
        </w:rPr>
        <w:t>附件1</w:t>
      </w:r>
    </w:p>
    <w:p>
      <w:pPr>
        <w:spacing w:after="0" w:line="520" w:lineRule="exact"/>
        <w:jc w:val="center"/>
        <w:rPr>
          <w:rFonts w:ascii="微软雅黑" w:eastAsia="微软雅黑" w:cs="微软雅黑"/>
          <w:sz w:val="40"/>
          <w:szCs w:val="40"/>
          <w:lang w:eastAsia="zh-CN"/>
        </w:rPr>
      </w:pPr>
      <w:r>
        <w:rPr>
          <w:rFonts w:ascii="微软雅黑" w:eastAsia="微软雅黑" w:cs="微软雅黑"/>
          <w:sz w:val="40"/>
          <w:szCs w:val="40"/>
          <w:lang w:eastAsia="zh-CN"/>
        </w:rPr>
        <w:t>东源县</w:t>
      </w:r>
      <w:bookmarkStart w:id="0" w:name="_GoBack"/>
      <w:bookmarkEnd w:id="0"/>
      <w:r>
        <w:rPr>
          <w:rFonts w:ascii="微软雅黑" w:eastAsia="微软雅黑" w:cs="微软雅黑" w:hint="eastAsia"/>
          <w:sz w:val="40"/>
          <w:szCs w:val="40"/>
          <w:lang w:eastAsia="zh-CN"/>
        </w:rPr>
        <w:t>文物保护单位保护范围和建设控制地带</w:t>
      </w:r>
      <w:r>
        <w:rPr>
          <w:rFonts w:ascii="微软雅黑" w:eastAsia="微软雅黑" w:cs="微软雅黑" w:hint="eastAsia"/>
          <w:sz w:val="40"/>
          <w:szCs w:val="40"/>
          <w:bdr w:val="none" w:sz="0" w:space="0" w:color="auto"/>
        </w:rPr>
        <w:t>名单</w:t>
      </w:r>
      <w:r>
        <w:rPr>
          <w:rFonts w:ascii="微软雅黑" w:eastAsia="微软雅黑" w:cs="微软雅黑" w:hint="eastAsia"/>
          <w:sz w:val="40"/>
          <w:szCs w:val="40"/>
          <w:lang w:eastAsia="zh-CN"/>
        </w:rPr>
        <w:t>（共</w:t>
      </w:r>
      <w:r>
        <w:rPr>
          <w:rFonts w:ascii="微软雅黑" w:eastAsia="微软雅黑" w:cs="微软雅黑"/>
          <w:sz w:val="40"/>
          <w:szCs w:val="40"/>
          <w:lang w:eastAsia="zh-CN"/>
        </w:rPr>
        <w:t>40</w:t>
      </w:r>
      <w:r>
        <w:rPr>
          <w:rFonts w:ascii="微软雅黑" w:eastAsia="微软雅黑" w:cs="微软雅黑" w:hint="eastAsia"/>
          <w:sz w:val="40"/>
          <w:szCs w:val="40"/>
          <w:lang w:eastAsia="zh-CN"/>
        </w:rPr>
        <w:t>处）</w:t>
      </w:r>
    </w:p>
    <w:tbl>
      <w:tblPr>
        <w:jc w:val="left"/>
        <w:tblInd w:w="93" w:type="dxa"/>
        <w:tblW w:w="12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780"/>
        <w:gridCol w:w="1220"/>
        <w:gridCol w:w="1102"/>
        <w:gridCol w:w="3184"/>
        <w:gridCol w:w="3969"/>
      </w:tblGrid>
      <w:tr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序号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名称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地   点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公布日期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保 护 范 围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建设控制地带</w:t>
            </w:r>
          </w:p>
        </w:tc>
      </w:tr>
      <w:tr>
        <w:trPr>
          <w:trHeight w:val="14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ind w:firstLineChars="100" w:firstLine="220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南园大夫第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仙塘镇红光村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2010.09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jc w:val="both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从原址墙外</w:t>
            </w:r>
            <w:r>
              <w:rPr>
                <w:rFonts w:ascii="微软雅黑" w:eastAsia="微软雅黑" w:cs="Arial" w:hint="eastAsia"/>
                <w:lang w:eastAsia="zh-CN"/>
              </w:rPr>
              <w:t>缘</w:t>
            </w:r>
            <w:r>
              <w:rPr>
                <w:rFonts w:ascii="微软雅黑" w:eastAsia="微软雅黑" w:cs="Arial"/>
                <w:lang w:eastAsia="zh-CN"/>
              </w:rPr>
              <w:t>起向东、西紧靠文物本体，向南延伸8米，向北延伸8米，面积3287平方米。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jc w:val="both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以保护范围界线外向东紧靠保护范围界线，向南向西两边延伸25米，向北延伸7米，面积6695平方米。</w:t>
            </w:r>
          </w:p>
        </w:tc>
      </w:tr>
      <w:tr>
        <w:trPr>
          <w:trHeight w:val="149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柳溪书院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仙塘镇红光村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2010.09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jc w:val="both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从原址墙外</w:t>
            </w:r>
            <w:r>
              <w:rPr>
                <w:rFonts w:ascii="微软雅黑" w:eastAsia="微软雅黑" w:cs="Arial" w:hint="eastAsia"/>
                <w:lang w:eastAsia="zh-CN"/>
              </w:rPr>
              <w:t>缘</w:t>
            </w:r>
            <w:r>
              <w:rPr>
                <w:rFonts w:ascii="微软雅黑" w:eastAsia="微软雅黑" w:cs="Arial"/>
                <w:lang w:eastAsia="zh-CN"/>
              </w:rPr>
              <w:t>起向东延伸5米，向西延伸18米，向南延伸6.5米，向北延伸1米，面积1521平方米。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jc w:val="both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以保护范围界线外向东延伸6米，西、南、北边紧靠保护范围，面积1667平方米。</w:t>
            </w:r>
          </w:p>
        </w:tc>
      </w:tr>
      <w:tr>
        <w:trPr>
          <w:trHeight w:val="182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ind w:firstLineChars="100" w:firstLine="220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通天岩摩崖石刻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仙塘镇坭坑村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2010.09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从原址墙外</w:t>
            </w:r>
            <w:r>
              <w:rPr>
                <w:rFonts w:ascii="微软雅黑" w:eastAsia="微软雅黑" w:cs="Arial" w:hint="eastAsia"/>
                <w:lang w:eastAsia="zh-CN"/>
              </w:rPr>
              <w:t>缘</w:t>
            </w:r>
            <w:r>
              <w:rPr>
                <w:rFonts w:ascii="微软雅黑" w:eastAsia="微软雅黑" w:cs="Arial"/>
                <w:lang w:eastAsia="zh-CN"/>
              </w:rPr>
              <w:t>起向东延伸20米，向西延伸24米，向南延伸8.5米，向北延伸7.5米，面积1885平方米。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以保护范围界线外向东延伸7米，向西延伸7米，向南延伸7米，向北延伸7米，面积3135平方米。</w:t>
            </w:r>
          </w:p>
        </w:tc>
      </w:tr>
      <w:tr>
        <w:trPr>
          <w:trHeight w:val="13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ind w:firstLineChars="100" w:firstLine="220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/>
                <w:lang w:eastAsia="zh-CN"/>
              </w:rPr>
            </w:pPr>
            <w:r>
              <w:rPr>
                <w:rFonts w:ascii="微软雅黑" w:eastAsia="微软雅黑" w:hint="eastAsia"/>
                <w:lang w:eastAsia="zh-CN"/>
              </w:rPr>
              <w:t>白礤大夫第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/>
                <w:lang w:eastAsia="zh-CN"/>
              </w:rPr>
            </w:pPr>
            <w:r>
              <w:rPr>
                <w:rFonts w:ascii="微软雅黑" w:eastAsia="微软雅黑"/>
                <w:lang w:eastAsia="zh-CN"/>
              </w:rPr>
              <w:t>灯塔镇</w:t>
            </w:r>
            <w:r>
              <w:rPr>
                <w:rFonts w:ascii="微软雅黑" w:eastAsia="微软雅黑" w:hint="eastAsia"/>
                <w:lang w:eastAsia="zh-CN"/>
              </w:rPr>
              <w:t>白礤村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/>
                <w:lang w:eastAsia="zh-CN"/>
              </w:rPr>
            </w:pPr>
            <w:r>
              <w:rPr>
                <w:rFonts w:ascii="微软雅黑" w:eastAsia="微软雅黑"/>
                <w:lang w:eastAsia="zh-CN"/>
              </w:rPr>
              <w:t>2010.09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jc w:val="both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从原址墙外</w:t>
            </w:r>
            <w:r>
              <w:rPr>
                <w:rFonts w:ascii="微软雅黑" w:eastAsia="微软雅黑" w:cs="Arial" w:hint="eastAsia"/>
                <w:lang w:eastAsia="zh-CN"/>
              </w:rPr>
              <w:t>缘</w:t>
            </w:r>
            <w:r>
              <w:rPr>
                <w:rFonts w:ascii="微软雅黑" w:eastAsia="微软雅黑" w:cs="Arial"/>
                <w:lang w:eastAsia="zh-CN"/>
              </w:rPr>
              <w:t>起向东延伸8米，向西延伸2米，南边紧靠原址，向北延伸3.7米，面积2723平方米。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以保护范围界线外向东延伸3.4米，向西延伸7米，南北两边紧靠保护范围，面积3140平方米。</w:t>
            </w:r>
          </w:p>
        </w:tc>
      </w:tr>
    </w:tbl>
    <w:p>
      <w:pPr>
        <w:spacing w:after="0" w:line="400" w:lineRule="exact"/>
        <w:rPr>
          <w:rFonts w:ascii="微软雅黑" w:eastAsia="微软雅黑" w:cs="微软雅黑"/>
          <w:sz w:val="24"/>
          <w:szCs w:val="24"/>
          <w:lang w:eastAsia="zh-CN"/>
        </w:rPr>
      </w:pPr>
      <w:r>
        <w:rPr>
          <w:rFonts w:ascii="微软雅黑" w:eastAsia="微软雅黑" w:cs="微软雅黑"/>
          <w:sz w:val="24"/>
          <w:szCs w:val="24"/>
          <w:lang w:eastAsia="zh-CN"/>
        </w:rPr>
        <w:br w:type="column"/>
      </w:r>
    </w:p>
    <w:tbl>
      <w:tblPr>
        <w:jc w:val="left"/>
        <w:tblInd w:w="90" w:type="dxa"/>
        <w:tblW w:w="12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440"/>
        <w:gridCol w:w="1380"/>
        <w:gridCol w:w="1110"/>
        <w:gridCol w:w="3611"/>
        <w:gridCol w:w="3415"/>
      </w:tblGrid>
      <w:tr>
        <w:trPr>
          <w:trHeight w:val="34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序号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名    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both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地   点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公布日期</w:t>
            </w: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保 护 范 围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建设控制地带</w:t>
            </w:r>
          </w:p>
        </w:tc>
      </w:tr>
      <w:tr>
        <w:trPr>
          <w:trHeight w:val="147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ind w:firstLineChars="100" w:firstLine="220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永盛古桥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hint="eastAsia"/>
                <w:lang w:val="en-US" w:eastAsia="zh-CN"/>
              </w:rPr>
              <w:t>灯塔镇结游草村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2021.04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both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从文物本体外缘向东、南、西、北各延伸5米，面积676.5平方米。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jc w:val="both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从保护范围外缘向东、南、西、北延伸10米，面积2212.43平方米。</w:t>
            </w:r>
          </w:p>
        </w:tc>
      </w:tr>
      <w:tr>
        <w:trPr>
          <w:trHeight w:val="15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ind w:firstLineChars="100" w:firstLine="220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hint="eastAsia"/>
                <w:lang w:eastAsia="zh-CN"/>
              </w:rPr>
            </w:pPr>
            <w:r>
              <w:rPr>
                <w:rFonts w:ascii="微软雅黑" w:eastAsia="微软雅黑" w:hint="eastAsia"/>
                <w:lang w:eastAsia="zh-CN"/>
              </w:rPr>
              <w:t>车头山双庆堂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hint="eastAsia"/>
                <w:lang w:eastAsia="zh-CN"/>
              </w:rPr>
            </w:pPr>
            <w:r>
              <w:rPr>
                <w:rFonts w:ascii="微软雅黑" w:eastAsia="微软雅黑" w:hint="eastAsia"/>
                <w:lang w:eastAsia="zh-CN"/>
              </w:rPr>
              <w:t>蓝口镇车头山村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lang w:eastAsia="zh-CN"/>
              </w:rPr>
            </w:pPr>
            <w:r>
              <w:rPr>
                <w:rFonts w:ascii="微软雅黑" w:eastAsia="微软雅黑" w:hint="eastAsia"/>
                <w:lang w:eastAsia="zh-CN"/>
              </w:rPr>
              <w:t>2021.04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从文物本体外缘向东延伸3米，向南延伸3米，向北延伸3米，面积2762.87平方米。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从保护范围外缘向东延伸2米，向南延伸5米，向北延伸4米，面积3314.13平方米。</w:t>
            </w:r>
          </w:p>
        </w:tc>
      </w:tr>
      <w:tr>
        <w:trPr>
          <w:trHeight w:val="103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ind w:firstLineChars="100" w:firstLine="220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hint="eastAsia"/>
                <w:lang w:eastAsia="zh-CN"/>
              </w:rPr>
            </w:pPr>
            <w:r>
              <w:rPr>
                <w:rFonts w:ascii="微软雅黑" w:eastAsia="微软雅黑" w:hint="eastAsia"/>
                <w:lang w:eastAsia="zh-CN"/>
              </w:rPr>
              <w:t>双田敬慎堂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hint="eastAsia"/>
                <w:lang w:eastAsia="zh-CN"/>
              </w:rPr>
            </w:pPr>
            <w:r>
              <w:rPr>
                <w:rFonts w:ascii="微软雅黑" w:eastAsia="微软雅黑" w:hint="eastAsia"/>
                <w:lang w:eastAsia="zh-CN"/>
              </w:rPr>
              <w:t>新港镇双田村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lang w:eastAsia="zh-CN"/>
              </w:rPr>
            </w:pPr>
            <w:r>
              <w:rPr>
                <w:rFonts w:ascii="微软雅黑" w:eastAsia="微软雅黑" w:hint="eastAsia"/>
                <w:lang w:eastAsia="zh-CN"/>
              </w:rPr>
              <w:t>2010.09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both"/>
              <w:rPr>
                <w:rFonts w:ascii="微软雅黑" w:eastAsia="微软雅黑" w:hint="eastAsia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从原址墙外</w:t>
            </w:r>
            <w:r>
              <w:rPr>
                <w:rFonts w:ascii="微软雅黑" w:eastAsia="微软雅黑" w:cs="Arial" w:hint="eastAsia"/>
                <w:lang w:eastAsia="zh-CN"/>
              </w:rPr>
              <w:t>缘</w:t>
            </w:r>
            <w:r>
              <w:rPr>
                <w:rFonts w:ascii="微软雅黑" w:eastAsia="微软雅黑" w:cs="Arial"/>
                <w:lang w:eastAsia="zh-CN"/>
              </w:rPr>
              <w:t>起向东延伸2米，向西延伸2米，向南延伸8米，向北延伸8米，面积1735平方米。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both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以保护范围界线外向东延伸2米，向西延伸2吗，向南延伸7米，北边紧靠保护范围边线，面积2010平方米。</w:t>
            </w:r>
          </w:p>
        </w:tc>
      </w:tr>
      <w:tr>
        <w:trPr>
          <w:trHeight w:val="264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ind w:firstLineChars="100" w:firstLine="220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hint="eastAsia"/>
                <w:lang w:eastAsia="zh-CN"/>
              </w:rPr>
            </w:pPr>
            <w:r>
              <w:rPr>
                <w:rFonts w:ascii="微软雅黑" w:eastAsia="微软雅黑" w:hint="eastAsia"/>
                <w:lang w:val="en-US" w:eastAsia="zh-CN"/>
              </w:rPr>
              <w:t>下山屋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hint="eastAsia"/>
                <w:lang w:eastAsia="zh-CN"/>
              </w:rPr>
            </w:pPr>
            <w:r>
              <w:rPr>
                <w:rFonts w:ascii="微软雅黑" w:eastAsia="微软雅黑" w:hint="eastAsia"/>
                <w:lang w:eastAsia="zh-CN"/>
              </w:rPr>
              <w:t>船塘镇小水村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hint="eastAsia"/>
                <w:lang w:eastAsia="zh-CN"/>
              </w:rPr>
            </w:pPr>
            <w:r>
              <w:rPr>
                <w:rFonts w:ascii="微软雅黑" w:eastAsia="微软雅黑" w:hint="eastAsia"/>
                <w:lang w:eastAsia="zh-CN"/>
              </w:rPr>
              <w:t>2010.09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jc w:val="both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从原址墙外缘起向东延伸8米，向西延伸5米，向南延伸4.5米，北边紧靠文物本体，面积2468平方米。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both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以保护范围界线外向东延伸7米，向西延伸5米，南紧靠保护范围，向北延伸3米，面积3044平方米。</w:t>
            </w:r>
          </w:p>
        </w:tc>
      </w:tr>
    </w:tbl>
    <w:tbl>
      <w:tblPr>
        <w:tblpPr w:leftFromText="180" w:rightFromText="180" w:vertAnchor="text" w:horzAnchor="margin" w:tblpXSpec="left" w:tblpY="121"/>
        <w:tblW w:w="13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460"/>
        <w:gridCol w:w="1380"/>
        <w:gridCol w:w="1125"/>
        <w:gridCol w:w="3630"/>
        <w:gridCol w:w="3723"/>
      </w:tblGrid>
      <w:tr>
        <w:trPr>
          <w:trHeight w:val="465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序号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名    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地   点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公布日期</w:t>
            </w:r>
          </w:p>
        </w:tc>
        <w:tc>
          <w:tcPr>
            <w:tcW w:w="3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保 护 范 围</w:t>
            </w:r>
          </w:p>
        </w:tc>
        <w:tc>
          <w:tcPr>
            <w:tcW w:w="3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建设控制地带</w:t>
            </w:r>
          </w:p>
        </w:tc>
      </w:tr>
      <w:tr>
        <w:trPr>
          <w:trHeight w:val="1414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河源县委成立旧址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叶潭镇叶潭村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 xml:space="preserve"> 2010.09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从原址墙外缘起向东延伸7.5米，向西延伸2米，南紧靠原址，向北延伸3.7米。面积525平方米。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以保护范围界线外向东延伸7.5米、西延伸6米，南北两边紧靠保护范围，面积754平方米。</w:t>
            </w:r>
          </w:p>
        </w:tc>
      </w:tr>
      <w:tr>
        <w:trPr>
          <w:trHeight w:val="1167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中共河源县委旧址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叶潭镇儒步村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 xml:space="preserve"> 2010.09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从原址墙外缘起向东延伸8米，向西延伸8米，向南延伸8米，向北延伸8米，面积1122平方米。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/>
                <w:lang w:eastAsia="zh-CN"/>
              </w:rPr>
              <w:t>以保护范围界线</w:t>
            </w: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向东延伸7米，向西延伸7米，向南延伸7米，向北延伸7米，面积2221平方米。</w:t>
            </w:r>
          </w:p>
        </w:tc>
      </w:tr>
      <w:tr>
        <w:trPr>
          <w:trHeight w:val="1301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/>
                <w:lang w:eastAsia="zh-CN"/>
              </w:rPr>
            </w:pPr>
            <w:r>
              <w:rPr>
                <w:rFonts w:ascii="微软雅黑" w:eastAsia="微软雅黑" w:hint="eastAsia"/>
                <w:lang w:val="en-US" w:eastAsia="zh-CN"/>
              </w:rPr>
              <w:t>半埔村下新屋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/>
                <w:lang w:eastAsia="zh-CN"/>
              </w:rPr>
            </w:pPr>
            <w:r>
              <w:rPr>
                <w:rFonts w:ascii="微软雅黑" w:eastAsia="微软雅黑" w:hint="eastAsia"/>
                <w:lang w:val="en-US" w:eastAsia="zh-CN"/>
              </w:rPr>
              <w:t>叶潭镇半埔村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/>
                <w:lang w:eastAsia="zh-CN"/>
              </w:rPr>
            </w:pPr>
            <w:r>
              <w:rPr>
                <w:rFonts w:ascii="微软雅黑" w:eastAsia="微软雅黑"/>
                <w:lang w:eastAsia="zh-CN"/>
              </w:rPr>
              <w:t>2021.04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从文物本体外缘向东延伸0.8米，向西延伸1.75米，向北延伸28.2米，向南延伸6.9米，面积5171.59平方米。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从保护范围外缘向北延伸1米，向南延伸1.5米，面积5431.3平方米。</w:t>
            </w:r>
          </w:p>
        </w:tc>
      </w:tr>
      <w:tr>
        <w:trPr>
          <w:trHeight w:val="103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/>
                <w:lang w:eastAsia="zh-CN"/>
              </w:rPr>
            </w:pPr>
            <w:r>
              <w:rPr>
                <w:rFonts w:ascii="微软雅黑" w:eastAsia="微软雅黑" w:hint="eastAsia"/>
                <w:lang w:val="en-US" w:eastAsia="zh-CN"/>
              </w:rPr>
              <w:t>儒步村中和堂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/>
                <w:lang w:eastAsia="zh-CN"/>
              </w:rPr>
            </w:pPr>
            <w:r>
              <w:rPr>
                <w:rFonts w:ascii="微软雅黑" w:eastAsia="微软雅黑" w:hint="eastAsia"/>
                <w:lang w:val="en-US" w:eastAsia="zh-CN"/>
              </w:rPr>
              <w:t>叶潭镇儒步村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/>
                <w:lang w:eastAsia="zh-CN"/>
              </w:rPr>
            </w:pPr>
            <w:r>
              <w:rPr>
                <w:rFonts w:ascii="微软雅黑" w:eastAsia="微软雅黑"/>
                <w:lang w:eastAsia="zh-CN"/>
              </w:rPr>
              <w:t>2021.04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从文物本体外缘向东延伸3米，向南延伸2.4米，向西延伸5米，向北延伸2米，面积2501.87平方米。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从保护范围外缘向东延伸5米，向西延伸5米，面积2909.45平方米。</w:t>
            </w:r>
          </w:p>
        </w:tc>
      </w:tr>
      <w:tr>
        <w:trPr>
          <w:trHeight w:val="103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/>
                <w:lang w:val="en-US" w:eastAsia="zh-CN"/>
              </w:rPr>
            </w:pPr>
            <w:r>
              <w:rPr>
                <w:rFonts w:ascii="微软雅黑" w:eastAsia="微软雅黑" w:hint="eastAsia"/>
                <w:lang w:val="en-US" w:eastAsia="zh-CN"/>
              </w:rPr>
              <w:t>文秀塘—中共后东特委驻地旧址（原中共东江后方特委文秀塘会议旧址）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/>
                <w:lang w:val="en-US" w:eastAsia="zh-CN"/>
              </w:rPr>
            </w:pPr>
            <w:r>
              <w:rPr>
                <w:rFonts w:ascii="微软雅黑" w:eastAsia="微软雅黑"/>
                <w:lang w:val="en-US" w:eastAsia="zh-CN"/>
              </w:rPr>
              <w:t>黄村镇永新村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2010.09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从原址墙外缘起向东延伸8米，向西延伸8米，向南延伸8米，向北延伸8米，面积1053平方米。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/>
                <w:lang w:eastAsia="zh-CN"/>
              </w:rPr>
              <w:t>以保护范围界线</w:t>
            </w: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向东延伸7米，向西延伸7米，向南延伸7米，向北延伸7米，面积2158平方米。</w:t>
            </w:r>
          </w:p>
        </w:tc>
      </w:tr>
    </w:tbl>
    <w:p>
      <w:pPr>
        <w:spacing w:after="0" w:line="400" w:lineRule="exact"/>
        <w:rPr>
          <w:rFonts w:ascii="微软雅黑" w:eastAsia="微软雅黑" w:cs="微软雅黑"/>
          <w:sz w:val="24"/>
          <w:szCs w:val="24"/>
          <w:lang w:eastAsia="zh-CN"/>
        </w:rPr>
      </w:pPr>
    </w:p>
    <w:tbl>
      <w:tblPr>
        <w:jc w:val="left"/>
        <w:tblInd w:w="-54" w:type="dxa"/>
        <w:tblW w:w="13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379"/>
        <w:gridCol w:w="1469"/>
        <w:gridCol w:w="1125"/>
        <w:gridCol w:w="3600"/>
        <w:gridCol w:w="3910"/>
      </w:tblGrid>
      <w:tr>
        <w:trPr>
          <w:trHeight w:val="345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 w:hint="eastAsia"/>
                <w:sz w:val="24"/>
                <w:szCs w:val="24"/>
                <w:lang w:eastAsia="zh-CN"/>
              </w:rPr>
              <w:t>名    称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 w:hint="eastAsia"/>
                <w:sz w:val="24"/>
                <w:szCs w:val="24"/>
                <w:lang w:eastAsia="zh-CN"/>
              </w:rPr>
              <w:t>地   点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公布日期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 w:hint="eastAsia"/>
                <w:sz w:val="24"/>
                <w:szCs w:val="24"/>
                <w:lang w:eastAsia="zh-CN"/>
              </w:rPr>
              <w:t>保 护 范 围</w:t>
            </w:r>
          </w:p>
        </w:tc>
        <w:tc>
          <w:tcPr>
            <w:tcW w:w="3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 w:hint="eastAsia"/>
                <w:sz w:val="24"/>
                <w:szCs w:val="24"/>
                <w:lang w:eastAsia="zh-CN"/>
              </w:rPr>
              <w:t>建设控制地带</w:t>
            </w:r>
          </w:p>
        </w:tc>
      </w:tr>
      <w:tr>
        <w:trPr>
          <w:trHeight w:val="1292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lang w:eastAsia="zh-CN"/>
              </w:rPr>
            </w:pPr>
            <w:r>
              <w:rPr>
                <w:rFonts w:ascii="微软雅黑" w:eastAsia="微软雅黑" w:hint="eastAsia"/>
                <w:lang w:eastAsia="zh-CN"/>
              </w:rPr>
              <w:t>慎修堂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lang w:eastAsia="zh-CN"/>
              </w:rPr>
            </w:pPr>
            <w:r>
              <w:rPr>
                <w:rFonts w:ascii="微软雅黑" w:eastAsia="微软雅黑" w:hint="eastAsia"/>
                <w:lang w:eastAsia="zh-CN"/>
              </w:rPr>
              <w:t>黄村镇下漆村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2010.09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从原址墙外缘起向东西紧靠文物原址，南边延伸8米，北边延伸8米，面积2870平方米。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以保护范围界线外东西两边紧靠保护范围，向南延伸7米、北延伸7米，面积3290平方米。</w:t>
            </w:r>
          </w:p>
        </w:tc>
      </w:tr>
      <w:tr>
        <w:trPr>
          <w:trHeight w:val="1516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中共九连地委及粤赣边支队司令部旧址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上莞镇新南村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2010.09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从原址墙外缘起向东延伸8米，向西延伸8米，向南延伸8米，向北延伸8米，面积3979平方米。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/>
                <w:lang w:eastAsia="zh-CN"/>
              </w:rPr>
              <w:t>以保护范围界线</w:t>
            </w: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向东延伸7米，向西延伸7米，向南延伸7米，向北延伸7米，面积6008平方米。</w:t>
            </w:r>
          </w:p>
        </w:tc>
      </w:tr>
      <w:tr>
        <w:trPr>
          <w:trHeight w:val="69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河源县人民政府旧址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上莞镇太阳村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2010.09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从原址墙</w:t>
            </w:r>
            <w:r>
              <w:rPr>
                <w:rFonts w:ascii="微软雅黑" w:eastAsia="微软雅黑" w:cs="Arial"/>
                <w:lang w:eastAsia="zh-CN"/>
              </w:rPr>
              <w:t>外</w:t>
            </w:r>
            <w:r>
              <w:rPr>
                <w:rFonts w:ascii="微软雅黑" w:eastAsia="微软雅黑" w:cs="Arial" w:hint="eastAsia"/>
                <w:lang w:eastAsia="zh-CN"/>
              </w:rPr>
              <w:t>缘</w:t>
            </w:r>
            <w:r>
              <w:rPr>
                <w:rFonts w:ascii="微软雅黑" w:eastAsia="微软雅黑" w:cs="Arial"/>
                <w:lang w:eastAsia="zh-CN"/>
              </w:rPr>
              <w:t>起向东延伸8米，向西延伸5.8米，南北紧靠原址为界线，面积1327平方米。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rPr>
                <w:rFonts w:ascii="微软雅黑" w:eastAsia="微软雅黑"/>
                <w:lang w:eastAsia="zh-CN"/>
              </w:rPr>
            </w:pPr>
            <w:r>
              <w:rPr>
                <w:rFonts w:ascii="微软雅黑" w:eastAsia="微软雅黑"/>
                <w:lang w:eastAsia="zh-CN"/>
              </w:rPr>
              <w:t>以保护范围界线向东延伸7米，向西延伸1.5米，南北两边紧靠保护范围，面积1598平方米。</w:t>
            </w:r>
          </w:p>
        </w:tc>
      </w:tr>
      <w:tr>
        <w:trPr>
          <w:trHeight w:val="69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上莞碧寿洞更新世哺乳动物化石遗址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上莞镇</w:t>
            </w:r>
            <w:r>
              <w:rPr>
                <w:rFonts w:ascii="微软雅黑" w:eastAsia="微软雅黑"/>
                <w:sz w:val="24"/>
                <w:szCs w:val="24"/>
                <w:lang w:val="en-US" w:eastAsia="zh-CN"/>
              </w:rPr>
              <w:t>新南村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/>
                <w:sz w:val="24"/>
                <w:szCs w:val="24"/>
                <w:lang w:eastAsia="zh-CN"/>
              </w:rPr>
              <w:t>2010.09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从原址墙外缘起向东延伸8米，向西延伸8米，向南延伸8米，向北延伸8米，面积784平方米。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/>
                <w:lang w:eastAsia="zh-CN"/>
              </w:rPr>
              <w:t>以保护范围界线</w:t>
            </w: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向东延伸7米，向西延伸7米，向南延伸7米，向北延伸7米，面积1764平方米。</w:t>
            </w:r>
          </w:p>
        </w:tc>
      </w:tr>
      <w:tr>
        <w:trPr>
          <w:trHeight w:val="69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李白村忠行堂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上莞镇李白村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/>
                <w:sz w:val="24"/>
                <w:szCs w:val="24"/>
                <w:lang w:eastAsia="zh-CN"/>
              </w:rPr>
              <w:t>2021.04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从文物本体外缘向东、西、北各延伸5米，向南延伸2米，面积6144.05平方米。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从保护范围外缘向东延伸10米，向南延伸1.5米，向西、北各延伸5米， 面积7840.12平方米。</w:t>
            </w:r>
          </w:p>
        </w:tc>
      </w:tr>
    </w:tbl>
    <w:p>
      <w:pPr>
        <w:spacing w:after="0" w:line="400" w:lineRule="exact"/>
        <w:rPr>
          <w:rFonts w:ascii="微软雅黑" w:eastAsia="微软雅黑" w:cs="微软雅黑"/>
          <w:sz w:val="24"/>
          <w:szCs w:val="24"/>
          <w:lang w:eastAsia="zh-CN"/>
        </w:rPr>
        <w:sectPr>
          <w:pgSz w:w="15840" w:h="12240" w:orient="landscape"/>
          <w:pgMar w:top="1800" w:right="1440" w:bottom="1800" w:left="1440" w:header="720" w:footer="720" w:gutter="0"/>
          <w:docGrid w:linePitch="360" w:charSpace="0"/>
        </w:sectPr>
      </w:pPr>
    </w:p>
    <w:tbl>
      <w:tblPr>
        <w:tblpPr w:leftFromText="180" w:rightFromText="180" w:vertAnchor="text" w:horzAnchor="margin" w:tblpXSpec="left" w:tblpY="693"/>
        <w:tblW w:w="13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370"/>
        <w:gridCol w:w="1485"/>
        <w:gridCol w:w="1125"/>
        <w:gridCol w:w="3600"/>
        <w:gridCol w:w="3813"/>
      </w:tblGrid>
      <w:tr>
        <w:trPr>
          <w:trHeight w:val="465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序号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名    称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地   点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公布日期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保 护 范 围</w:t>
            </w:r>
          </w:p>
        </w:tc>
        <w:tc>
          <w:tcPr>
            <w:tcW w:w="3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建设控制地带</w:t>
            </w:r>
          </w:p>
        </w:tc>
      </w:tr>
      <w:tr>
        <w:trPr>
          <w:trHeight w:val="465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民主堂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柳城镇柳城村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/>
                <w:sz w:val="24"/>
                <w:szCs w:val="24"/>
                <w:lang w:eastAsia="zh-CN"/>
              </w:rPr>
              <w:t>2010.09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从原址墙</w:t>
            </w:r>
            <w:r>
              <w:rPr>
                <w:rFonts w:ascii="微软雅黑" w:eastAsia="微软雅黑" w:cs="Arial"/>
                <w:lang w:eastAsia="zh-CN"/>
              </w:rPr>
              <w:t>外</w:t>
            </w:r>
            <w:r>
              <w:rPr>
                <w:rFonts w:ascii="微软雅黑" w:eastAsia="微软雅黑" w:cs="Arial" w:hint="eastAsia"/>
                <w:lang w:eastAsia="zh-CN"/>
              </w:rPr>
              <w:t>缘</w:t>
            </w:r>
            <w:r>
              <w:rPr>
                <w:rFonts w:ascii="微软雅黑" w:eastAsia="微软雅黑" w:cs="Arial"/>
                <w:lang w:eastAsia="zh-CN"/>
              </w:rPr>
              <w:t>起向东、西、南、北紧靠原址，西边部分延伸8米，北边部分延伸5米，面积3167平方米。</w:t>
            </w:r>
          </w:p>
        </w:tc>
        <w:tc>
          <w:tcPr>
            <w:tcW w:w="3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以保护范围界线外</w:t>
            </w:r>
            <w:r>
              <w:rPr>
                <w:rFonts w:ascii="微软雅黑" w:eastAsia="微软雅黑" w:cs="Arial"/>
                <w:lang w:eastAsia="zh-CN"/>
              </w:rPr>
              <w:t>向东、西、南、北紧靠原址，西边部分延伸7米，北边部分延伸5米，面积3302平方米。</w:t>
            </w:r>
          </w:p>
        </w:tc>
      </w:tr>
      <w:tr>
        <w:trPr>
          <w:trHeight w:val="1442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铁门省斋公祠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黄田镇黄田村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2010.09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从原址墙</w:t>
            </w:r>
            <w:r>
              <w:rPr>
                <w:rFonts w:ascii="微软雅黑" w:eastAsia="微软雅黑" w:cs="Arial"/>
                <w:lang w:eastAsia="zh-CN"/>
              </w:rPr>
              <w:t>外</w:t>
            </w:r>
            <w:r>
              <w:rPr>
                <w:rFonts w:ascii="微软雅黑" w:eastAsia="微软雅黑" w:cs="Arial" w:hint="eastAsia"/>
                <w:lang w:eastAsia="zh-CN"/>
              </w:rPr>
              <w:t>缘</w:t>
            </w:r>
            <w:r>
              <w:rPr>
                <w:rFonts w:ascii="微软雅黑" w:eastAsia="微软雅黑" w:cs="Arial"/>
                <w:lang w:eastAsia="zh-CN"/>
              </w:rPr>
              <w:t>起向东延伸1米，向西延伸1米，向南延伸3米，向北延伸9米，面积6185平方米。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以保护范围界线外东西紧靠保护范围，向南延伸7米，向北延伸7米，面积6726平方米。</w:t>
            </w:r>
          </w:p>
        </w:tc>
      </w:tr>
      <w:tr>
        <w:trPr>
          <w:trHeight w:val="116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李氏祥合公祠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黄田镇醒群村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2021.04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/>
                <w:sz w:val="24"/>
                <w:szCs w:val="24"/>
                <w:lang w:eastAsia="zh-CN"/>
              </w:rPr>
              <w:t>从文物本体外缘向南延伸5米，向北延伸3米，面积2693.46平方米。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/>
                <w:sz w:val="24"/>
                <w:szCs w:val="24"/>
                <w:lang w:eastAsia="zh-CN"/>
              </w:rPr>
              <w:t>从保护范围外缘向东、西、北各延伸8米，面积4267平方米。</w:t>
            </w:r>
          </w:p>
        </w:tc>
      </w:tr>
      <w:tr>
        <w:trPr>
          <w:trHeight w:val="144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2</w:t>
            </w:r>
            <w:r>
              <w:rPr>
                <w:rFonts w:ascii="微软雅黑" w:eastAsia="微软雅黑" w:cs="Arial"/>
                <w:lang w:eastAsia="zh-CN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礼洞村四角楼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黄田镇礼洞村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2021.04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/>
                <w:sz w:val="24"/>
                <w:szCs w:val="24"/>
                <w:lang w:eastAsia="zh-CN"/>
              </w:rPr>
              <w:t>从文物本体外缘向西延伸12米，面积2876.12平方米。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/>
                <w:sz w:val="24"/>
                <w:szCs w:val="24"/>
                <w:lang w:eastAsia="zh-CN"/>
              </w:rPr>
              <w:t>从保护范围外缘向东、北各延伸13米，向南延伸3米，向西延伸6米，面积4770.30平方米。</w:t>
            </w:r>
          </w:p>
        </w:tc>
      </w:tr>
      <w:tr>
        <w:trPr>
          <w:trHeight w:val="1035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2</w:t>
            </w:r>
            <w:r>
              <w:rPr>
                <w:rFonts w:ascii="微软雅黑" w:eastAsia="微软雅黑" w:cs="Arial"/>
                <w:lang w:eastAsia="zh-CN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洋潭村水口塔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涧头镇洋潭村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2010.09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从原址墙</w:t>
            </w:r>
            <w:r>
              <w:rPr>
                <w:rFonts w:ascii="微软雅黑" w:eastAsia="微软雅黑" w:cs="Arial"/>
                <w:lang w:eastAsia="zh-CN"/>
              </w:rPr>
              <w:t>外</w:t>
            </w:r>
            <w:r>
              <w:rPr>
                <w:rFonts w:ascii="微软雅黑" w:eastAsia="微软雅黑" w:cs="Arial" w:hint="eastAsia"/>
                <w:lang w:eastAsia="zh-CN"/>
              </w:rPr>
              <w:t>缘</w:t>
            </w:r>
            <w:r>
              <w:rPr>
                <w:rFonts w:ascii="微软雅黑" w:eastAsia="微软雅黑" w:cs="Arial"/>
                <w:lang w:eastAsia="zh-CN"/>
              </w:rPr>
              <w:t>起向东延伸8米，向西延伸8米，向南延伸8米，向北延伸8米，面积315平方米。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以保护范围界线外向东延伸7米，向西延伸7米，向南延伸7米，向北延伸7米，面积948平方米。</w:t>
            </w:r>
          </w:p>
        </w:tc>
      </w:tr>
    </w:tbl>
    <w:p>
      <w:pPr>
        <w:spacing w:after="0" w:line="400" w:lineRule="exact"/>
        <w:rPr>
          <w:rFonts w:ascii="微软雅黑" w:eastAsia="微软雅黑" w:cs="微软雅黑"/>
          <w:sz w:val="24"/>
          <w:szCs w:val="24"/>
          <w:lang w:eastAsia="zh-CN"/>
        </w:rPr>
      </w:pPr>
    </w:p>
    <w:p>
      <w:pPr>
        <w:spacing w:after="0" w:line="400" w:lineRule="exact"/>
        <w:rPr>
          <w:rFonts w:ascii="微软雅黑" w:eastAsia="微软雅黑" w:cs="微软雅黑"/>
          <w:sz w:val="24"/>
          <w:szCs w:val="24"/>
          <w:lang w:eastAsia="zh-CN"/>
        </w:rPr>
        <w:sectPr>
          <w:pgSz w:w="15840" w:h="12240" w:orient="landscape"/>
          <w:pgMar w:top="1800" w:right="1440" w:bottom="1800" w:left="1440" w:header="720" w:footer="720" w:gutter="0"/>
          <w:docGrid w:linePitch="360" w:charSpace="0"/>
        </w:sectPr>
      </w:pPr>
    </w:p>
    <w:tbl>
      <w:tblPr>
        <w:jc w:val="left"/>
        <w:tblInd w:w="-69" w:type="dxa"/>
        <w:tblW w:w="13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60"/>
        <w:gridCol w:w="1540"/>
        <w:gridCol w:w="1125"/>
        <w:gridCol w:w="3871"/>
        <w:gridCol w:w="3543"/>
      </w:tblGrid>
      <w:tr>
        <w:trPr>
          <w:trHeight w:val="45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序号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名    称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地   点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公布日期</w:t>
            </w:r>
          </w:p>
        </w:tc>
        <w:tc>
          <w:tcPr>
            <w:tcW w:w="3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保 护 范 围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建设控制地带</w:t>
            </w:r>
          </w:p>
        </w:tc>
      </w:tr>
      <w:tr>
        <w:trPr>
          <w:trHeight w:val="45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2</w:t>
            </w:r>
            <w:r>
              <w:rPr>
                <w:rFonts w:ascii="微软雅黑" w:eastAsia="微软雅黑" w:cs="Arial"/>
                <w:lang w:eastAsia="zh-CN"/>
              </w:rPr>
              <w:t>4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花树下老屋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骆湖镇红花村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2021.04</w:t>
            </w:r>
          </w:p>
        </w:tc>
        <w:tc>
          <w:tcPr>
            <w:tcW w:w="3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从文物本体外缘向东、北各延伸1.5米，向南延伸9米，面积4271.75平方米。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从保护范围外缘向南延伸4米，向西延伸5米，面积4918.63平方米。</w:t>
            </w:r>
          </w:p>
        </w:tc>
      </w:tr>
      <w:tr>
        <w:trPr>
          <w:trHeight w:val="111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2</w:t>
            </w:r>
            <w:r>
              <w:rPr>
                <w:rFonts w:ascii="微软雅黑" w:eastAsia="微软雅黑" w:cs="Arial"/>
                <w:lang w:eastAsia="zh-CN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bCs/>
                <w:sz w:val="24"/>
                <w:szCs w:val="24"/>
                <w:lang w:eastAsia="zh-CN"/>
              </w:rPr>
              <w:t>蓝大将军墓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漳溪乡下蓝村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/>
                <w:sz w:val="24"/>
                <w:szCs w:val="24"/>
                <w:lang w:eastAsia="zh-CN"/>
              </w:rPr>
              <w:t>2010.09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从原址及附属建筑物外缘起向东、西、南、北各延伸8米，面积513平方米。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以保护范围界线及附属建筑物外缘起向东、西、南、北各延伸7米，面积2504平方米。</w:t>
            </w:r>
          </w:p>
        </w:tc>
      </w:tr>
      <w:tr>
        <w:trPr>
          <w:trHeight w:val="115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2</w:t>
            </w:r>
            <w:r>
              <w:rPr>
                <w:rFonts w:ascii="微软雅黑" w:eastAsia="微软雅黑" w:cs="Arial"/>
                <w:lang w:eastAsia="zh-CN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黄鼎古墓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漳溪乡漳下村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/>
                <w:sz w:val="24"/>
                <w:szCs w:val="24"/>
                <w:lang w:eastAsia="zh-CN"/>
              </w:rPr>
              <w:t>2010.09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从原址墙外缘起向东、西、南、北各延伸8米，面积613平方米。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以保护范围界线外向东、西、南、北各延伸7米，面积1502平方米。</w:t>
            </w:r>
          </w:p>
        </w:tc>
      </w:tr>
      <w:tr>
        <w:trPr>
          <w:trHeight w:val="11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 w:hint="eastAsia"/>
                <w:lang w:eastAsia="zh-CN"/>
              </w:rPr>
              <w:t>2</w:t>
            </w:r>
            <w:r>
              <w:rPr>
                <w:rFonts w:ascii="微软雅黑" w:eastAsia="微软雅黑" w:cs="Arial"/>
                <w:lang w:eastAsia="zh-CN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曲龙乡农民协会旧址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康禾镇曲龙村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2010.09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从原址外缘起向东、向南紧靠文物本体，向西延伸11米，向北延伸9米，面积1481平方米。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以保护范围界线外向东延伸1.3米，向西延伸5米，向南延伸2米，向北延伸7米。面积2542平方米。</w:t>
            </w:r>
          </w:p>
        </w:tc>
      </w:tr>
      <w:tr>
        <w:trPr>
          <w:trHeight w:val="111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仙坑村明德堂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康禾镇仙坑村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2021.04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从文物本体外缘向东延伸3米，向南延伸4米，向西延伸1米，向北延伸3米，面积3366平方米。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从保护范围外缘向东延伸8米，向南延伸12米，向西延伸8米，面积5172.17平方米。</w:t>
            </w:r>
          </w:p>
        </w:tc>
      </w:tr>
      <w:tr>
        <w:trPr>
          <w:trHeight w:val="70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仙坑村行恕堂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康禾镇仙坑村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2021.04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从文物本体外缘向南延伸1米，向西延伸8米，向北延伸2米，面积1568.78平方米。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从保护范围外缘向东延伸4米，向西延伸6米，面积1957.39平方米。</w:t>
            </w:r>
          </w:p>
        </w:tc>
      </w:tr>
    </w:tbl>
    <w:p>
      <w:pPr>
        <w:spacing w:after="0" w:line="400" w:lineRule="exact"/>
        <w:rPr>
          <w:rFonts w:ascii="微软雅黑" w:eastAsia="微软雅黑" w:cs="微软雅黑"/>
          <w:sz w:val="24"/>
          <w:szCs w:val="24"/>
          <w:lang w:eastAsia="zh-CN"/>
        </w:rPr>
      </w:pPr>
    </w:p>
    <w:tbl>
      <w:tblPr>
        <w:jc w:val="left"/>
        <w:tblInd w:w="-114" w:type="dxa"/>
        <w:tblW w:w="1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70"/>
        <w:gridCol w:w="1560"/>
        <w:gridCol w:w="1140"/>
        <w:gridCol w:w="3886"/>
        <w:gridCol w:w="3542"/>
      </w:tblGrid>
      <w:tr>
        <w:trPr>
          <w:trHeight w:val="345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 w:hint="eastAsia"/>
                <w:sz w:val="24"/>
                <w:szCs w:val="24"/>
                <w:lang w:eastAsia="zh-CN"/>
              </w:rPr>
              <w:t>名    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 w:hint="eastAsia"/>
                <w:sz w:val="24"/>
                <w:szCs w:val="24"/>
                <w:lang w:eastAsia="zh-CN"/>
              </w:rPr>
              <w:t>地   点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公布日期</w:t>
            </w:r>
          </w:p>
        </w:tc>
        <w:tc>
          <w:tcPr>
            <w:tcW w:w="3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 w:hint="eastAsia"/>
                <w:sz w:val="24"/>
                <w:szCs w:val="24"/>
                <w:lang w:eastAsia="zh-CN"/>
              </w:rPr>
              <w:t>保 护 范 围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 w:hint="eastAsia"/>
                <w:sz w:val="24"/>
                <w:szCs w:val="24"/>
                <w:lang w:eastAsia="zh-CN"/>
              </w:rPr>
              <w:t>建设控制地带</w:t>
            </w:r>
          </w:p>
        </w:tc>
      </w:tr>
      <w:tr>
        <w:trPr>
          <w:trHeight w:val="345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30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仙坑村崇德堂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康禾镇仙坑村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2021.04</w:t>
            </w:r>
          </w:p>
        </w:tc>
        <w:tc>
          <w:tcPr>
            <w:tcW w:w="3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从文物本体外缘向东延伸5米，向南、西、北各延伸3米，面积2028.95平方米。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从保护范围外缘向东延伸10米，向西延伸3.3米，面积2743.18平方米。</w:t>
            </w:r>
          </w:p>
        </w:tc>
      </w:tr>
      <w:tr>
        <w:trPr>
          <w:trHeight w:val="98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仙坑村逢源屋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康禾镇仙坑村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2021.04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从文物本体外缘向西延伸12米，向北延伸1米，面积1909.14平方米。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从保护范围外缘向东延伸1米，向南、西各延伸2米，向北延伸13米，面积2833.11平方米。</w:t>
            </w:r>
          </w:p>
        </w:tc>
      </w:tr>
      <w:tr>
        <w:trPr>
          <w:trHeight w:val="100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仙坑村中书第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康禾镇仙坑村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2021.04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从文物本体外缘向南延伸2米，向北延伸1米，面积1414.66平方米。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从保护范围外缘向东延伸5米，向南延伸1.5米，向西延伸1米，面积1780.94平方米。</w:t>
            </w:r>
          </w:p>
        </w:tc>
      </w:tr>
      <w:tr>
        <w:trPr>
          <w:trHeight w:val="155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仙坑村务本堂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康禾镇仙坑村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2021.04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从文物本体外缘向南延伸3米，向北延伸2米，面积1426.07平方米。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lang w:eastAsia="zh-CN"/>
              </w:rPr>
            </w:pPr>
            <w:r>
              <w:rPr>
                <w:rFonts w:ascii="微软雅黑" w:eastAsia="微软雅黑" w:cs="Arial"/>
                <w:lang w:eastAsia="zh-CN"/>
              </w:rPr>
              <w:t>从保护范围外缘向南延伸6.5米，面积1810.77平方米。</w:t>
            </w:r>
          </w:p>
        </w:tc>
      </w:tr>
      <w:tr>
        <w:trPr>
          <w:trHeight w:val="49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仙坑村百护堂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康禾镇仙坑村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2021.04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从文物本体外缘向南、西、北各延伸4米，面积1378.15平方米。</w:t>
            </w:r>
          </w:p>
        </w:tc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>
            <w:pPr>
              <w:spacing w:line="400" w:lineRule="exact"/>
              <w:rPr>
                <w:rFonts w:ascii="微软雅黑" w:eastAsia="微软雅黑"/>
              </w:rPr>
            </w:pPr>
            <w:r>
              <w:rPr>
                <w:rFonts w:ascii="微软雅黑" w:eastAsia="微软雅黑"/>
              </w:rPr>
              <w:t>从保护范围外缘向西延伸11米，向北延伸3米，面积2064.10平方米。</w:t>
            </w:r>
          </w:p>
          <w:p>
            <w:pPr>
              <w:spacing w:line="400" w:lineRule="exact"/>
            </w:pPr>
          </w:p>
        </w:tc>
      </w:tr>
      <w:tr>
        <w:trPr>
          <w:trHeight w:val="571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 w:hint="eastAsia"/>
                <w:sz w:val="24"/>
                <w:szCs w:val="24"/>
                <w:lang w:eastAsia="zh-CN"/>
              </w:rPr>
              <w:t>名    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ind w:firstLineChars="100" w:firstLine="240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 w:hint="eastAsia"/>
                <w:sz w:val="24"/>
                <w:szCs w:val="24"/>
                <w:lang w:eastAsia="zh-CN"/>
              </w:rPr>
              <w:t>地   点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 w:hint="eastAsia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3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 w:hint="eastAsia"/>
                <w:sz w:val="24"/>
                <w:szCs w:val="24"/>
                <w:lang w:eastAsia="zh-CN"/>
              </w:rPr>
              <w:t>保 护 范 围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 w:hint="eastAsia"/>
                <w:sz w:val="24"/>
                <w:szCs w:val="24"/>
                <w:lang w:eastAsia="zh-CN"/>
              </w:rPr>
              <w:t>建设控制地带</w:t>
            </w:r>
          </w:p>
        </w:tc>
      </w:tr>
      <w:tr>
        <w:trPr>
          <w:trHeight w:val="571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仙坑村蛇龙屋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康禾镇仙坑村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2021.04</w:t>
            </w:r>
          </w:p>
        </w:tc>
        <w:tc>
          <w:tcPr>
            <w:tcW w:w="3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从文物本体外缘向东、南、西、北各延伸2米，面积1384.04平方米。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从保护范围外缘向南延伸6米，向北延伸3米，面积2050.17平方米。</w:t>
            </w:r>
          </w:p>
        </w:tc>
      </w:tr>
      <w:tr>
        <w:trPr>
          <w:trHeight w:val="571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仙坑村宝盒屋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康禾镇仙坑村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2021.04</w:t>
            </w:r>
          </w:p>
        </w:tc>
        <w:tc>
          <w:tcPr>
            <w:tcW w:w="3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从文物本体外缘向东延伸7米，向南延伸4米，向北延伸3米，面积1417.69平方米。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从保护范围外缘向东延伸10米，向南延伸5米，向西延伸2米，面积2011.15平方米。</w:t>
            </w:r>
          </w:p>
        </w:tc>
      </w:tr>
      <w:tr>
        <w:trPr>
          <w:trHeight w:val="1387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仙坑村端本堂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康禾镇仙坑村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2021.04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从文物本体外缘向西、北各延伸2米，面积803.09平方米。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从保护范围外缘向东延伸2米，向南延伸3米，面积1006.49平方米。</w:t>
            </w:r>
          </w:p>
        </w:tc>
      </w:tr>
      <w:tr>
        <w:trPr>
          <w:trHeight w:val="103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仙坑村司马第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康禾镇仙坑村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2021.04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从文物本体外缘向南延伸2米，向西延伸3.5米，向北延伸1米，面积1123.47平方米。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从保护范围外缘向东、西、北各延伸1.5米，向南延伸3米，面积1383.03平方米。</w:t>
            </w:r>
          </w:p>
        </w:tc>
      </w:tr>
      <w:tr>
        <w:trPr>
          <w:trHeight w:val="112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登云书院遗址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val="en-US" w:eastAsia="zh-CN"/>
              </w:rPr>
              <w:t>康禾镇仙坑村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2021.04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从文物本体外缘向东、南、西、北各延伸2米，面积2181.59平方米。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从保护范围外缘向东延伸3米，向南延伸8米，向北延伸7米，面积4953.88平方米。</w:t>
            </w:r>
          </w:p>
        </w:tc>
      </w:tr>
      <w:tr>
        <w:trPr>
          <w:trHeight w:val="76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赵廷客墓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半江镇横畲村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微软雅黑" w:eastAsia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2010.09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从原址墙外缘起向东延伸8米，向西延伸8米，向南延伸8米，向北延伸8米，面积613平方米。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微软雅黑" w:eastAsia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/>
                <w:lang w:eastAsia="zh-CN"/>
              </w:rPr>
              <w:t>以保护范围界线</w:t>
            </w:r>
            <w:r>
              <w:rPr>
                <w:rFonts w:ascii="微软雅黑" w:eastAsia="微软雅黑" w:cs="Arial"/>
                <w:sz w:val="24"/>
                <w:szCs w:val="24"/>
                <w:lang w:eastAsia="zh-CN"/>
              </w:rPr>
              <w:t>向东延伸7米，向西延伸7米，向南延伸7米，向北延伸7米，面积1502平方米。</w:t>
            </w:r>
          </w:p>
        </w:tc>
      </w:tr>
    </w:tbl>
    <w:p>
      <w:pPr>
        <w:spacing w:after="0" w:line="400" w:lineRule="exact"/>
        <w:rPr>
          <w:rFonts w:ascii="微软雅黑" w:eastAsia="微软雅黑" w:cs="微软雅黑"/>
          <w:sz w:val="24"/>
          <w:szCs w:val="24"/>
          <w:lang w:eastAsia="zh-CN"/>
        </w:rPr>
      </w:pPr>
    </w:p>
    <w:sectPr>
      <w:pgSz w:w="15840" w:h="12240" w:orient="landscape"/>
      <w:pgMar w:top="1800" w:right="1440" w:bottom="1800" w:left="1440" w:header="720" w:footer="720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variable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FFFFF7F"/>
    <w:multiLevelType w:val="singleLevel"/>
    <w:tmpl w:val="FFFFFF7F"/>
    <w:lvl w:ilvl="0">
      <w:start w:val="1"/>
      <w:numFmt w:val="decimal"/>
      <w:lvlRestart w:val="0"/>
      <w:pStyle w:val="17"/>
      <w:lvlText w:val="%1."/>
      <w:lvlJc w:val="left"/>
      <w:pPr>
        <w:ind w:left="720" w:hanging="360"/>
      </w:pPr>
    </w:lvl>
  </w:abstractNum>
  <w:abstractNum w:abstractNumId="1">
    <w:nsid w:val="FFFFFF88"/>
    <w:multiLevelType w:val="singleLevel"/>
    <w:tmpl w:val="FFFFFF88"/>
    <w:lvl w:ilvl="0">
      <w:start w:val="1"/>
      <w:numFmt w:val="decimal"/>
      <w:lvlRestart w:val="0"/>
      <w:pStyle w:val="18"/>
      <w:lvlText w:val="%1."/>
      <w:lvlJc w:val="left"/>
      <w:pPr>
        <w:ind w:left="360" w:hanging="360"/>
      </w:pPr>
    </w:lvl>
  </w:abstractNum>
  <w:abstractNum w:abstractNumId="2">
    <w:nsid w:val="FFFFFF89"/>
    <w:multiLevelType w:val="singleLevel"/>
    <w:tmpl w:val="FFFFFF89"/>
    <w:lvl w:ilvl="0">
      <w:start w:val="1"/>
      <w:numFmt w:val="bullet"/>
      <w:lvlRestart w:val="0"/>
      <w:pStyle w:val="20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FFFFFF82"/>
    <w:lvl w:ilvl="0">
      <w:start w:val="1"/>
      <w:numFmt w:val="bullet"/>
      <w:lvlRestart w:val="0"/>
      <w:pStyle w:val="22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4">
    <w:nsid w:val="FFFFFF7E"/>
    <w:multiLevelType w:val="singleLevel"/>
    <w:tmpl w:val="FFFFFF7E"/>
    <w:lvl w:ilvl="0">
      <w:start w:val="1"/>
      <w:numFmt w:val="decimal"/>
      <w:lvlRestart w:val="0"/>
      <w:pStyle w:val="24"/>
      <w:lvlText w:val="%1."/>
      <w:lvlJc w:val="left"/>
      <w:pPr>
        <w:ind w:left="1080" w:hanging="360"/>
      </w:pPr>
    </w:lvl>
  </w:abstractNum>
  <w:abstractNum w:abstractNumId="5">
    <w:nsid w:val="FFFFFF83"/>
    <w:multiLevelType w:val="singleLevel"/>
    <w:tmpl w:val="FFFFFF83"/>
    <w:lvl w:ilvl="0">
      <w:start w:val="1"/>
      <w:numFmt w:val="bullet"/>
      <w:lvlRestart w:val="0"/>
      <w:pStyle w:val="27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720"/>
  <w:drawingGridHorizontalSpacing w:val="110"/>
  <w:drawingGridVerticalSpacing w:val="156"/>
  <w:displayHorizontalDrawingGridEvery w:val="2"/>
  <w:displayVerticalDrawingGridEvery w:val="1"/>
  <w:compat>
    <w:spaceForUL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Cambria" w:eastAsia="宋体" w:cs="Arial" w:hAnsi="Cambria"/>
      <w:sz w:val="2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480" w:after="0"/>
      <w:outlineLvl w:val="0"/>
    </w:pPr>
    <w:rPr>
      <w:rFonts w:ascii="Calibri" w:eastAsia="宋体" w:cs="Times New Roman" w:hAnsi="Calibri"/>
      <w:b/>
      <w:bCs/>
      <w:color w:val="366091"/>
      <w:sz w:val="28"/>
      <w:szCs w:val="28"/>
    </w:rPr>
  </w:style>
  <w:style w:type="paragraph" w:styleId="2">
    <w:name w:val="heading 2"/>
    <w:basedOn w:val="0"/>
    <w:next w:val="0"/>
    <w:pPr>
      <w:keepNext/>
      <w:keepLines/>
      <w:spacing w:before="200" w:after="0"/>
      <w:outlineLvl w:val="1"/>
    </w:pPr>
    <w:rPr>
      <w:rFonts w:ascii="Calibri" w:eastAsia="宋体" w:cs="Times New Roman" w:hAnsi="Calibri"/>
      <w:b/>
      <w:bCs/>
      <w:color w:val="4F81BD"/>
      <w:sz w:val="26"/>
      <w:szCs w:val="26"/>
    </w:rPr>
  </w:style>
  <w:style w:type="paragraph" w:styleId="3">
    <w:name w:val="heading 3"/>
    <w:basedOn w:val="0"/>
    <w:next w:val="0"/>
    <w:pPr>
      <w:keepNext/>
      <w:keepLines/>
      <w:spacing w:before="200" w:after="0"/>
      <w:outlineLvl w:val="2"/>
    </w:pPr>
    <w:rPr>
      <w:rFonts w:ascii="Calibri" w:eastAsia="宋体" w:cs="Times New Roman" w:hAnsi="Calibri"/>
      <w:b/>
      <w:bCs/>
      <w:color w:val="4F81BD"/>
    </w:rPr>
  </w:style>
  <w:style w:type="paragraph" w:styleId="4">
    <w:name w:val="heading 4"/>
    <w:basedOn w:val="0"/>
    <w:next w:val="0"/>
    <w:pPr>
      <w:keepNext/>
      <w:keepLines/>
      <w:spacing w:before="200" w:after="0"/>
      <w:outlineLvl w:val="3"/>
    </w:pPr>
    <w:rPr>
      <w:rFonts w:ascii="Calibri" w:eastAsia="宋体" w:cs="Times New Roman" w:hAnsi="Calibri"/>
      <w:b/>
      <w:bCs/>
      <w:i/>
      <w:iCs/>
      <w:color w:val="4F81BD"/>
    </w:rPr>
  </w:style>
  <w:style w:type="paragraph" w:styleId="5">
    <w:name w:val="heading 5"/>
    <w:basedOn w:val="0"/>
    <w:next w:val="0"/>
    <w:pPr>
      <w:keepNext/>
      <w:keepLines/>
      <w:spacing w:before="200" w:after="0"/>
      <w:outlineLvl w:val="4"/>
    </w:pPr>
    <w:rPr>
      <w:rFonts w:ascii="Calibri" w:eastAsia="宋体" w:cs="Times New Roman" w:hAnsi="Calibri"/>
      <w:color w:val="244061"/>
    </w:rPr>
  </w:style>
  <w:style w:type="paragraph" w:styleId="6">
    <w:name w:val="heading 6"/>
    <w:basedOn w:val="0"/>
    <w:next w:val="0"/>
    <w:pPr>
      <w:keepNext/>
      <w:keepLines/>
      <w:spacing w:before="200" w:after="0"/>
      <w:outlineLvl w:val="5"/>
    </w:pPr>
    <w:rPr>
      <w:rFonts w:ascii="Calibri" w:eastAsia="宋体" w:cs="Times New Roman" w:hAnsi="Calibri"/>
      <w:i/>
      <w:iCs/>
      <w:color w:val="244061"/>
    </w:rPr>
  </w:style>
  <w:style w:type="paragraph" w:styleId="7">
    <w:name w:val="heading 7"/>
    <w:basedOn w:val="0"/>
    <w:next w:val="0"/>
    <w:pPr>
      <w:keepNext/>
      <w:keepLines/>
      <w:spacing w:before="200" w:after="0"/>
      <w:outlineLvl w:val="6"/>
    </w:pPr>
    <w:rPr>
      <w:rFonts w:ascii="Calibri" w:eastAsia="宋体" w:cs="Times New Roman" w:hAnsi="Calibri"/>
      <w:i/>
      <w:iCs/>
      <w:color w:val="3F3F3F"/>
    </w:rPr>
  </w:style>
  <w:style w:type="paragraph" w:styleId="8">
    <w:name w:val="heading 8"/>
    <w:basedOn w:val="0"/>
    <w:next w:val="0"/>
    <w:pPr>
      <w:keepNext/>
      <w:keepLines/>
      <w:spacing w:before="200" w:after="0"/>
      <w:outlineLvl w:val="7"/>
    </w:pPr>
    <w:rPr>
      <w:rFonts w:ascii="Calibri" w:eastAsia="宋体" w:cs="Times New Roman" w:hAnsi="Calibri"/>
      <w:color w:val="4F81BD"/>
      <w:sz w:val="20"/>
      <w:szCs w:val="20"/>
    </w:rPr>
  </w:style>
  <w:style w:type="paragraph" w:styleId="9">
    <w:name w:val="heading 9"/>
    <w:basedOn w:val="0"/>
    <w:next w:val="0"/>
    <w:pPr>
      <w:keepNext/>
      <w:keepLines/>
      <w:spacing w:before="200" w:after="0"/>
      <w:outlineLvl w:val="8"/>
    </w:pPr>
    <w:rPr>
      <w:rFonts w:ascii="Calibri" w:eastAsia="宋体" w:cs="Times New Roman" w:hAnsi="Calibri"/>
      <w:i/>
      <w:iCs/>
      <w:color w:val="3F3F3F"/>
      <w:sz w:val="20"/>
      <w:szCs w:val="20"/>
    </w:rPr>
  </w:style>
  <w:style w:type="character" w:default="1" w:styleId="10">
    <w:name w:val="Default Paragraph Font"/>
  </w:style>
  <w:style w:type="paragraph" w:styleId="15">
    <w:name w:val="macro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宋体" w:cs="Arial" w:hAnsi="Courier"/>
      <w:sz w:val="20"/>
      <w:szCs w:val="20"/>
      <w:lang w:val="en-US" w:eastAsia="zh-CN" w:bidi="ar-SA"/>
    </w:rPr>
  </w:style>
  <w:style w:type="paragraph" w:styleId="16">
    <w:name w:val="List 3"/>
    <w:basedOn w:val="0"/>
    <w:pPr>
      <w:ind w:left="1080" w:hanging="360"/>
      <w:contextualSpacing/>
    </w:pPr>
  </w:style>
  <w:style w:type="paragraph" w:styleId="17">
    <w:name w:val="List Number 2"/>
    <w:basedOn w:val="0"/>
    <w:pPr>
      <w:numPr>
        <w:ilvl w:val="0"/>
        <w:numId w:val="1"/>
      </w:numPr>
      <w:contextualSpacing/>
    </w:pPr>
  </w:style>
  <w:style w:type="paragraph" w:styleId="18">
    <w:name w:val="List Number"/>
    <w:basedOn w:val="0"/>
    <w:pPr>
      <w:numPr>
        <w:ilvl w:val="0"/>
        <w:numId w:val="2"/>
      </w:numPr>
      <w:contextualSpacing/>
    </w:pPr>
  </w:style>
  <w:style w:type="paragraph" w:styleId="19">
    <w:name w:val="caption"/>
    <w:basedOn w:val="0"/>
    <w:next w:val="0"/>
    <w:pPr>
      <w:spacing w:line="240" w:lineRule="auto"/>
    </w:pPr>
    <w:rPr>
      <w:b/>
      <w:bCs/>
      <w:color w:val="4F81BD"/>
      <w:sz w:val="18"/>
      <w:szCs w:val="18"/>
    </w:rPr>
  </w:style>
  <w:style w:type="paragraph" w:styleId="20">
    <w:name w:val="List Bullet"/>
    <w:basedOn w:val="0"/>
    <w:pPr>
      <w:numPr>
        <w:ilvl w:val="0"/>
        <w:numId w:val="3"/>
      </w:numPr>
      <w:contextualSpacing/>
    </w:pPr>
  </w:style>
  <w:style w:type="paragraph" w:styleId="21">
    <w:name w:val="Body Text 3"/>
    <w:basedOn w:val="0"/>
    <w:pPr>
      <w:spacing w:after="120"/>
    </w:pPr>
    <w:rPr>
      <w:sz w:val="16"/>
      <w:szCs w:val="16"/>
    </w:rPr>
  </w:style>
  <w:style w:type="paragraph" w:styleId="22">
    <w:name w:val="List Bullet 3"/>
    <w:basedOn w:val="0"/>
    <w:pPr>
      <w:numPr>
        <w:ilvl w:val="0"/>
        <w:numId w:val="4"/>
      </w:numPr>
      <w:contextualSpacing/>
    </w:pPr>
  </w:style>
  <w:style w:type="paragraph" w:styleId="23">
    <w:name w:val="Body Text"/>
    <w:basedOn w:val="0"/>
    <w:pPr>
      <w:spacing w:after="120"/>
    </w:pPr>
  </w:style>
  <w:style w:type="paragraph" w:styleId="24">
    <w:name w:val="List Number 3"/>
    <w:basedOn w:val="0"/>
    <w:pPr>
      <w:numPr>
        <w:ilvl w:val="0"/>
        <w:numId w:val="5"/>
      </w:numPr>
      <w:contextualSpacing/>
    </w:pPr>
  </w:style>
  <w:style w:type="paragraph" w:styleId="25">
    <w:name w:val="List 2"/>
    <w:basedOn w:val="0"/>
    <w:pPr>
      <w:ind w:left="720" w:hanging="360"/>
      <w:contextualSpacing/>
    </w:pPr>
  </w:style>
  <w:style w:type="paragraph" w:styleId="26">
    <w:name w:val="List Continue"/>
    <w:basedOn w:val="0"/>
    <w:pPr>
      <w:spacing w:after="120"/>
      <w:ind w:left="360"/>
      <w:contextualSpacing/>
    </w:pPr>
  </w:style>
  <w:style w:type="paragraph" w:styleId="27">
    <w:name w:val="List Bullet 2"/>
    <w:basedOn w:val="0"/>
    <w:pPr>
      <w:numPr>
        <w:ilvl w:val="0"/>
        <w:numId w:val="6"/>
      </w:numPr>
      <w:contextualSpacing/>
    </w:pPr>
  </w:style>
  <w:style w:type="paragraph" w:styleId="28">
    <w:name w:val="footer"/>
    <w:basedOn w:val="0"/>
    <w:pPr>
      <w:tabs>
        <w:tab w:val="center" w:pos="4680"/>
        <w:tab w:val="right" w:pos="9360"/>
      </w:tabs>
      <w:spacing w:after="0" w:line="240" w:lineRule="auto"/>
    </w:pPr>
  </w:style>
  <w:style w:type="paragraph" w:styleId="29">
    <w:name w:val="header"/>
    <w:basedOn w:val="0"/>
    <w:pPr>
      <w:tabs>
        <w:tab w:val="center" w:pos="4680"/>
        <w:tab w:val="right" w:pos="9360"/>
      </w:tabs>
      <w:spacing w:after="0" w:line="240" w:lineRule="auto"/>
    </w:pPr>
  </w:style>
  <w:style w:type="paragraph" w:styleId="30">
    <w:name w:val="Subtitle"/>
    <w:basedOn w:val="0"/>
    <w:next w:val="0"/>
    <w:rPr>
      <w:rFonts w:ascii="Calibri" w:eastAsia="宋体" w:cs="Times New Roman" w:hAnsi="Calibri"/>
      <w:i/>
      <w:iCs/>
      <w:color w:val="4F81BD"/>
      <w:spacing w:val="15"/>
      <w:sz w:val="24"/>
      <w:szCs w:val="24"/>
    </w:rPr>
  </w:style>
  <w:style w:type="paragraph" w:styleId="31">
    <w:name w:val="List"/>
    <w:basedOn w:val="0"/>
    <w:pPr>
      <w:ind w:left="360" w:hanging="360"/>
      <w:contextualSpacing/>
    </w:pPr>
  </w:style>
  <w:style w:type="paragraph" w:styleId="32">
    <w:name w:val="Body Text 2"/>
    <w:basedOn w:val="0"/>
    <w:pPr>
      <w:spacing w:after="120" w:line="480" w:lineRule="auto"/>
    </w:pPr>
  </w:style>
  <w:style w:type="paragraph" w:styleId="33">
    <w:name w:val="List Continue 2"/>
    <w:basedOn w:val="0"/>
    <w:pPr>
      <w:spacing w:after="120"/>
      <w:ind w:left="720"/>
      <w:contextualSpacing/>
    </w:pPr>
  </w:style>
  <w:style w:type="paragraph" w:styleId="34">
    <w:name w:val="List Continue 3"/>
    <w:basedOn w:val="0"/>
    <w:pPr>
      <w:spacing w:after="120"/>
      <w:ind w:left="1080"/>
      <w:contextualSpacing/>
    </w:pPr>
  </w:style>
  <w:style w:type="paragraph" w:styleId="35">
    <w:name w:val="Title"/>
    <w:basedOn w:val="0"/>
    <w:next w:val="0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宋体" w:cs="Times New Roman" w:hAnsi="Calibri"/>
      <w:color w:val="17365D"/>
      <w:spacing w:val="5"/>
      <w:kern w:val="28"/>
      <w:sz w:val="52"/>
      <w:szCs w:val="52"/>
    </w:rPr>
  </w:style>
  <w:style w:type="character" w:styleId="36">
    <w:name w:val="Strong"/>
    <w:basedOn w:val="10"/>
    <w:rPr>
      <w:b/>
      <w:bCs/>
    </w:rPr>
  </w:style>
  <w:style w:type="character" w:styleId="37">
    <w:name w:val="Emphasis"/>
    <w:basedOn w:val="10"/>
    <w:rPr>
      <w:i/>
      <w:iCs/>
    </w:rPr>
  </w:style>
  <w:style w:type="paragraph" w:customStyle="1" w:styleId="38">
    <w:name w:val="无间隔1"/>
    <w:rPr>
      <w:rFonts w:ascii="Cambria" w:eastAsia="宋体" w:cs="Arial" w:hAnsi="Cambria"/>
      <w:sz w:val="22"/>
      <w:szCs w:val="22"/>
      <w:lang w:val="en-US" w:eastAsia="zh-CN" w:bidi="ar-SA"/>
    </w:rPr>
  </w:style>
  <w:style w:type="paragraph" w:customStyle="1" w:styleId="39">
    <w:name w:val="列出段落1"/>
    <w:basedOn w:val="0"/>
    <w:pPr>
      <w:ind w:left="720"/>
      <w:contextualSpacing/>
    </w:pPr>
  </w:style>
  <w:style w:type="paragraph" w:customStyle="1" w:styleId="40">
    <w:name w:val="引用1"/>
    <w:basedOn w:val="0"/>
    <w:next w:val="0"/>
    <w:rPr>
      <w:i/>
      <w:iCs/>
      <w:color w:val="000000"/>
    </w:rPr>
  </w:style>
  <w:style w:type="paragraph" w:customStyle="1" w:styleId="41">
    <w:name w:val="明显引用1"/>
    <w:basedOn w:val="0"/>
    <w:next w:val="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42">
    <w:name w:val="不明显强调1"/>
    <w:basedOn w:val="10"/>
    <w:rPr>
      <w:i/>
      <w:iCs/>
      <w:color w:val="7E7E7E"/>
    </w:rPr>
  </w:style>
  <w:style w:type="character" w:customStyle="1" w:styleId="43">
    <w:name w:val="明显强调1"/>
    <w:basedOn w:val="10"/>
    <w:rPr>
      <w:b/>
      <w:bCs/>
      <w:i/>
      <w:iCs/>
      <w:color w:val="4F81BD"/>
    </w:rPr>
  </w:style>
  <w:style w:type="character" w:customStyle="1" w:styleId="44">
    <w:name w:val="不明显参考1"/>
    <w:basedOn w:val="10"/>
    <w:rPr>
      <w:caps w:val="0"/>
      <w:smallCaps/>
      <w:color w:val="C0504D"/>
      <w:u w:val="single"/>
    </w:rPr>
  </w:style>
  <w:style w:type="character" w:customStyle="1" w:styleId="45">
    <w:name w:val="明显参考1"/>
    <w:basedOn w:val="10"/>
    <w:rPr>
      <w:b/>
      <w:bCs/>
      <w:caps w:val="0"/>
      <w:smallCaps/>
      <w:color w:val="C0504D"/>
      <w:spacing w:val="5"/>
      <w:u w:val="single"/>
    </w:rPr>
  </w:style>
  <w:style w:type="character" w:customStyle="1" w:styleId="46">
    <w:name w:val="书籍标题1"/>
    <w:basedOn w:val="10"/>
    <w:rPr>
      <w:b/>
      <w:bCs/>
      <w:caps w:val="0"/>
      <w:smallCaps/>
      <w:spacing w:val="5"/>
    </w:rPr>
  </w:style>
  <w:style w:type="paragraph" w:customStyle="1" w:styleId="47">
    <w:name w:val="TOC 标题1"/>
    <w:basedOn w:val="1"/>
    <w:next w:val="0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gradFill rotWithShape="1">
          <a:gsLst>
            <a:gs pos="0">
              <a:srgbClr val="3F80CD">
                <a:alpha val="100000"/>
              </a:srgbClr>
            </a:gs>
            <a:gs pos="100000">
              <a:srgbClr val="9BC1FF">
                <a:alpha val="100000"/>
              </a:srgbClr>
            </a:gs>
          </a:gsLst>
          <a:lin ang="16200000" scaled="1"/>
        </a:gradFill>
        <a:ln w="9525" cmpd="sng" cap="flat">
          <a:solidFill>
            <a:srgbClr val="4A7EBB"/>
          </a:solidFill>
          <a:prstDash val="solid"/>
          <a:round/>
        </a:ln>
        <a:effectLst>
          <a:outerShdw sx="100000" sy="100000" algn="b" rotWithShape="0" blurRad="40000" dist="23000" dir="5400000">
            <a:srgbClr val="000000">
              <a:alpha val="34509"/>
            </a:srgbClr>
          </a:outerShdw>
        </a:effectLst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mpd="sng" cap="flat">
          <a:solidFill>
            <a:srgbClr val="4A7EBB"/>
          </a:solidFill>
          <a:prstDash val="solid"/>
          <a:round/>
        </a:ln>
        <a:effectLst>
          <a:outerShdw sx="100000" sy="100000" algn="b" rotWithShape="0" blurRad="40000" dist="23000" dir="5400000">
            <a:srgbClr val="000000">
              <a:alpha val="34509"/>
            </a:srgbClr>
          </a:outerShdw>
        </a:effectLst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>
  <Template>Normal.eit</Template>
  <TotalTime>2243</TotalTime>
  <Application>Yozo_Office27021597764231179</Application>
  <Pages>9</Pages>
  <Words>3658</Words>
  <Characters>4340</Characters>
  <Lines>516</Lines>
  <Paragraphs>291</Paragraphs>
  <CharactersWithSpaces>4417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python-docx</dc:creator>
  <dc:description>generated by python-docx</dc:description>
  <cp:lastModifiedBy>Administrator</cp:lastModifiedBy>
  <cp:revision>10</cp:revision>
  <dcterms:created xsi:type="dcterms:W3CDTF">2013-12-23T23:15:00Z</dcterms:created>
  <dcterms:modified xsi:type="dcterms:W3CDTF">2022-11-02T07:35:27Z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2052-11.1.0.10228</vt:lpwstr>
  </property>
</Properties>
</file>