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440" w:lineRule="exact"/>
        <w:rPr>
          <w:rFonts w:ascii="黑体" w:eastAsia="黑体" w:cs="黑体" w:hint="eastAsia"/>
          <w:bCs/>
          <w:position w:val="-4"/>
          <w:sz w:val="32"/>
          <w:szCs w:val="32"/>
        </w:rPr>
      </w:pPr>
      <w:r>
        <w:rPr>
          <w:rFonts w:ascii="黑体" w:eastAsia="黑体" w:cs="黑体" w:hint="eastAsia"/>
          <w:bCs/>
          <w:position w:val="-4"/>
          <w:sz w:val="32"/>
          <w:szCs w:val="32"/>
        </w:rPr>
        <w:t>附件</w:t>
      </w:r>
      <w:r>
        <w:rPr>
          <w:rFonts w:ascii="黑体" w:eastAsia="黑体" w:cs="黑体" w:hint="eastAsia"/>
          <w:bCs/>
          <w:position w:val="-4"/>
          <w:sz w:val="32"/>
          <w:szCs w:val="32"/>
          <w:lang w:val="en-US" w:eastAsia="zh-CN"/>
        </w:rPr>
        <w:t>1</w:t>
      </w:r>
    </w:p>
    <w:p>
      <w:pPr>
        <w:wordWrap/>
        <w:adjustRightInd/>
        <w:snapToGrid/>
        <w:spacing w:line="560" w:lineRule="exact"/>
        <w:ind w:left="0" w:right="0"/>
        <w:jc w:val="center"/>
        <w:textAlignment w:val="auto"/>
        <w:outlineLvl w:val="9"/>
        <w:rPr>
          <w:rFonts w:ascii="Times New Roman" w:eastAsia="仿宋_GB2312" w:cs="仿宋_GB2312" w:hAnsi="Times New Roman" w:hint="eastAsia"/>
          <w:sz w:val="32"/>
          <w:szCs w:val="32"/>
        </w:rPr>
      </w:pPr>
      <w:r>
        <w:rPr>
          <w:rFonts w:ascii="Times New Roman" w:eastAsia="方正小标宋简体" w:cs="Times New Roman" w:hAnsi="Times New Roman" w:hint="eastAsia"/>
          <w:color w:val="auto"/>
          <w:sz w:val="44"/>
          <w:szCs w:val="44"/>
          <w:lang w:val="en-US" w:eastAsia="zh-CN"/>
        </w:rPr>
        <w:t>202</w:t>
      </w:r>
      <w:r>
        <w:rPr>
          <w:rFonts w:eastAsia="方正小标宋简体" w:cs="Times New Roman" w:hint="eastAsia"/>
          <w:color w:val="auto"/>
          <w:sz w:val="44"/>
          <w:szCs w:val="44"/>
          <w:lang w:val="en-US" w:eastAsia="zh-CN"/>
        </w:rPr>
        <w:t>3</w:t>
      </w:r>
      <w:r>
        <w:rPr>
          <w:rFonts w:ascii="Times New Roman" w:eastAsia="方正小标宋简体" w:cs="Times New Roman" w:hAnsi="Times New Roman" w:hint="eastAsia"/>
          <w:color w:val="auto"/>
          <w:sz w:val="44"/>
          <w:szCs w:val="44"/>
          <w:lang w:val="en-US" w:eastAsia="zh-CN"/>
        </w:rPr>
        <w:t>年度东源县</w:t>
      </w:r>
      <w:r>
        <w:rPr>
          <w:rFonts w:ascii="Times New Roman" w:eastAsia="方正小标宋简体" w:cs="Times New Roman" w:hAnsi="Times New Roman"/>
          <w:color w:val="auto"/>
          <w:sz w:val="44"/>
          <w:szCs w:val="44"/>
          <w:lang w:val="en-US" w:eastAsia="zh-CN"/>
        </w:rPr>
        <w:t>市</w:t>
      </w:r>
      <w:r>
        <w:rPr>
          <w:rFonts w:ascii="Times New Roman" w:eastAsia="方正小标宋简体" w:cs="Times New Roman" w:hAnsi="Times New Roman" w:hint="eastAsia"/>
          <w:color w:val="auto"/>
          <w:sz w:val="44"/>
          <w:szCs w:val="44"/>
          <w:lang w:val="en-US" w:eastAsia="zh-CN"/>
        </w:rPr>
        <w:t>场监督管理局双随机抽查</w:t>
      </w:r>
      <w:r>
        <w:rPr>
          <w:rFonts w:eastAsia="方正小标宋简体" w:cs="Times New Roman" w:hint="eastAsia"/>
          <w:color w:val="auto"/>
          <w:sz w:val="44"/>
          <w:szCs w:val="44"/>
          <w:lang w:val="en-US" w:eastAsia="zh-CN"/>
        </w:rPr>
        <w:t>工作</w:t>
      </w:r>
      <w:r>
        <w:rPr>
          <w:rFonts w:ascii="Times New Roman" w:eastAsia="方正小标宋简体" w:cs="Times New Roman" w:hAnsi="Times New Roman" w:hint="eastAsia"/>
          <w:color w:val="auto"/>
          <w:sz w:val="44"/>
          <w:szCs w:val="44"/>
          <w:lang w:val="en-US" w:eastAsia="zh-CN"/>
        </w:rPr>
        <w:t>计划</w:t>
      </w:r>
    </w:p>
    <w:tbl>
      <w:tblPr>
        <w:tblpPr w:leftFromText="180" w:rightFromText="180" w:vertAnchor="text" w:horzAnchor="page" w:tblpX="1176" w:tblpY="226"/>
        <w:tblOverlap w:val="never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024"/>
        <w:gridCol w:w="1335"/>
        <w:gridCol w:w="1771"/>
        <w:gridCol w:w="1430"/>
        <w:gridCol w:w="3385"/>
        <w:gridCol w:w="1545"/>
        <w:gridCol w:w="1160"/>
      </w:tblGrid>
      <w:tr>
        <w:trPr>
          <w:trHeight w:val="563"/>
          <w:tblHeader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  <w:t>抽查任务名称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firstLineChars="100" w:firstLine="210"/>
              <w:jc w:val="both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  <w:t>抽查类型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  <w:t>事项</w:t>
            </w: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rightChars="-467" w:right="-1401" w:firstLineChars="100" w:firstLine="210"/>
              <w:jc w:val="both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  <w:t>抽</w:t>
            </w: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查时间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rightChars="-467" w:right="-1401"/>
              <w:jc w:val="both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实施股室</w:t>
            </w:r>
          </w:p>
        </w:tc>
      </w:tr>
      <w:tr>
        <w:trPr>
          <w:trHeight w:val="60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全</w:t>
            </w: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ascii="Times New Roman" w:eastAsia="宋体" w:cs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企业不定向抽查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1"/>
                <w:szCs w:val="21"/>
              </w:rPr>
              <w:t>不定向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1"/>
                <w:szCs w:val="21"/>
              </w:rPr>
              <w:t>登记事项、公示信息两大抽查类别检查</w:t>
            </w:r>
            <w:r>
              <w:rPr>
                <w:rFonts w:eastAsia="宋体" w:cs="Times New Roman" w:hint="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eastAsia="zh-CN"/>
              </w:rPr>
              <w:t>一般检</w:t>
            </w:r>
            <w:r>
              <w:rPr>
                <w:rFonts w:eastAsia="宋体" w:cs="Times New Roman" w:hint="eastAsia"/>
                <w:color w:val="000000"/>
                <w:kern w:val="0"/>
                <w:sz w:val="21"/>
                <w:szCs w:val="21"/>
                <w:lang w:eastAsia="zh-CN"/>
              </w:rPr>
              <w:t>查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1"/>
                <w:szCs w:val="21"/>
              </w:rPr>
              <w:t>按</w:t>
            </w:r>
            <w:r>
              <w:rPr>
                <w:rFonts w:eastAsia="宋体" w:cs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eastAsia="宋体" w:cs="Times New Roman" w:hAnsi="Times New Roman"/>
                <w:color w:val="000000"/>
                <w:kern w:val="0"/>
                <w:sz w:val="21"/>
                <w:szCs w:val="21"/>
              </w:rPr>
              <w:t>%的比例抽取</w:t>
            </w:r>
            <w:r>
              <w:rPr>
                <w:rFonts w:eastAsia="宋体" w:cs="Times New Roman" w:hint="eastAsia"/>
                <w:color w:val="000000"/>
                <w:kern w:val="0"/>
                <w:sz w:val="21"/>
                <w:szCs w:val="21"/>
                <w:lang w:eastAsia="zh-CN"/>
              </w:rPr>
              <w:t>东源县</w:t>
            </w:r>
            <w:r>
              <w:rPr>
                <w:rFonts w:ascii="Times New Roman" w:eastAsia="宋体" w:cs="Times New Roman" w:hAnsi="Times New Roman"/>
                <w:color w:val="000000"/>
                <w:kern w:val="0"/>
                <w:sz w:val="21"/>
                <w:szCs w:val="21"/>
              </w:rPr>
              <w:t>登记注册的企业</w:t>
            </w:r>
            <w:r>
              <w:rPr>
                <w:rFonts w:eastAsia="宋体" w:cs="Times New Roman" w:hint="eastAsia"/>
                <w:color w:val="000000"/>
                <w:kern w:val="0"/>
                <w:sz w:val="21"/>
                <w:szCs w:val="21"/>
                <w:lang w:eastAsia="zh-CN"/>
              </w:rPr>
              <w:t>（市局抽取</w:t>
            </w:r>
            <w:r>
              <w:rPr>
                <w:rFonts w:eastAsia="宋体" w:cs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2%，县局抽取1%</w:t>
            </w:r>
            <w:r>
              <w:rPr>
                <w:rFonts w:eastAsia="宋体" w:cs="Times New Roman" w:hint="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至11</w:t>
            </w:r>
            <w:r>
              <w:rPr>
                <w:rFonts w:ascii="Times New Roman" w:eastAsia="宋体" w:cs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信用股</w:t>
            </w:r>
          </w:p>
        </w:tc>
      </w:tr>
      <w:tr>
        <w:trPr>
          <w:trHeight w:val="704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全县农民专业合作社不定向抽查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宋体" w:eastAsia="宋体" w:cs="Times New Roman"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cs="Times New Roman" w:hint="eastAsia"/>
                <w:color w:val="000000"/>
                <w:kern w:val="0"/>
                <w:sz w:val="21"/>
                <w:szCs w:val="21"/>
                <w:lang w:eastAsia="zh-CN"/>
              </w:rPr>
              <w:t>不定向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Times New Roman" w:hint="eastAsia"/>
                <w:color w:val="000000"/>
                <w:kern w:val="0"/>
                <w:sz w:val="21"/>
                <w:szCs w:val="21"/>
              </w:rPr>
              <w:t>登记事项、公示信息两大抽查类别检查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宋体" w:eastAsia="宋体" w:cs="Times New Roman"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cs="Times New Roman" w:hint="eastAsia"/>
                <w:color w:val="000000"/>
                <w:kern w:val="0"/>
                <w:sz w:val="21"/>
                <w:szCs w:val="21"/>
                <w:lang w:eastAsia="zh-CN"/>
              </w:rPr>
              <w:t>一般检查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Times New Roman"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cs="Times New Roman" w:hint="eastAsia"/>
                <w:color w:val="000000"/>
                <w:kern w:val="0"/>
                <w:sz w:val="21"/>
                <w:szCs w:val="21"/>
                <w:lang w:eastAsia="zh-CN"/>
              </w:rPr>
              <w:t>全县登记注册的农民专业合作社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宋体" w:eastAsia="宋体" w:cs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eastAsia="宋体" w:cs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至11月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信用股</w:t>
            </w:r>
          </w:p>
        </w:tc>
      </w:tr>
      <w:tr>
        <w:trPr>
          <w:trHeight w:val="704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开展团体标准、企业标准监督抽查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eastAsia="zh-CN"/>
              </w:rPr>
              <w:t>标准文本内容</w:t>
            </w:r>
            <w:r>
              <w:rPr>
                <w:rFonts w:eastAsia="宋体" w:cs="Times New Roman" w:hint="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eastAsia="zh-CN"/>
              </w:rPr>
              <w:t>一般检查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制定企业标准、团体标准的企事业单位和社团组织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eastAsia="zh-CN"/>
              </w:rPr>
              <w:t>全年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标准化股</w:t>
            </w:r>
          </w:p>
        </w:tc>
      </w:tr>
      <w:tr>
        <w:trPr>
          <w:trHeight w:val="67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药品经营质量管理体系抽查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零售药店日常检查</w:t>
            </w:r>
            <w:r>
              <w:rPr>
                <w:rFonts w:eastAsia="宋体" w:cs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全县</w:t>
            </w: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抽查3家零售药店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全年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药</w:t>
            </w:r>
            <w:r>
              <w:rPr>
                <w:rFonts w:ascii="Times New Roman" w:eastAsia="宋体" w:cs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械</w:t>
            </w: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化股</w:t>
            </w:r>
          </w:p>
        </w:tc>
      </w:tr>
      <w:tr>
        <w:trPr>
          <w:trHeight w:val="67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地理标志专用标志使用行为的抽查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2"/>
                <w:szCs w:val="22"/>
                <w:lang w:eastAsia="zh-CN"/>
              </w:rPr>
              <w:t>定向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地理标志专用标志使用行为</w:t>
            </w:r>
            <w:r>
              <w:rPr>
                <w:rFonts w:eastAsia="宋体" w:cs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一般检查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地理标志专用标志合法使用人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8月底前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广告监督与</w:t>
            </w: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知识产权股</w:t>
            </w:r>
          </w:p>
        </w:tc>
      </w:tr>
      <w:tr>
        <w:trPr>
          <w:trHeight w:val="67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商标使用行为的抽查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2"/>
                <w:szCs w:val="22"/>
                <w:lang w:eastAsia="zh-CN"/>
              </w:rPr>
              <w:t>不定向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商标印制行为的检查</w:t>
            </w:r>
            <w:r>
              <w:rPr>
                <w:rFonts w:eastAsia="宋体" w:cs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一般检查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各类</w:t>
            </w:r>
            <w:r>
              <w:rPr>
                <w:rFonts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市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场主体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10月底前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广告监督与</w:t>
            </w: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知识产权股</w:t>
            </w:r>
          </w:p>
        </w:tc>
      </w:tr>
      <w:tr>
        <w:trPr>
          <w:trHeight w:val="67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认证活动和认证结果抽查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eastAsia="zh-CN"/>
              </w:rPr>
              <w:t>不定向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eastAsia="zh-CN"/>
              </w:rPr>
              <w:t>自愿性认证活动及结果合规性、有效性的检查。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int="eastAsia"/>
                <w:color w:val="auto"/>
                <w:spacing w:val="-8"/>
                <w:kern w:val="0"/>
                <w:sz w:val="21"/>
                <w:szCs w:val="21"/>
                <w:lang w:eastAsia="zh-CN"/>
              </w:rPr>
              <w:t>一般检查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eastAsia="zh-CN"/>
              </w:rPr>
              <w:t>自愿性认证机构、获证企业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int="eastAsia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11月前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质量</w:t>
            </w:r>
            <w:r>
              <w:rPr>
                <w:rFonts w:ascii="宋体" w:eastAsia="宋体" w:cs="宋体" w:hint="eastAsia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股</w:t>
            </w:r>
          </w:p>
        </w:tc>
      </w:tr>
    </w:tbl>
    <w:p>
      <w:pPr>
        <w:spacing w:line="440" w:lineRule="exact"/>
        <w:rPr>
          <w:rFonts w:ascii="黑体" w:eastAsia="黑体" w:cs="黑体" w:hint="eastAsia"/>
          <w:bCs/>
          <w:position w:val="-4"/>
          <w:sz w:val="32"/>
          <w:szCs w:val="32"/>
          <w:lang w:eastAsia="zh-CN"/>
        </w:rPr>
      </w:pPr>
    </w:p>
    <w:tbl>
      <w:tblPr>
        <w:tblpPr w:leftFromText="180" w:rightFromText="180" w:vertAnchor="text" w:horzAnchor="page" w:tblpX="1176" w:tblpY="226"/>
        <w:tblOverlap w:val="never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165"/>
        <w:gridCol w:w="1395"/>
        <w:gridCol w:w="1555"/>
        <w:gridCol w:w="1445"/>
        <w:gridCol w:w="3370"/>
        <w:gridCol w:w="1560"/>
        <w:gridCol w:w="1160"/>
      </w:tblGrid>
      <w:tr>
        <w:trPr>
          <w:trHeight w:val="653"/>
          <w:tblHeader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  <w:t>抽查任务名称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firstLineChars="100" w:firstLine="210"/>
              <w:jc w:val="both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  <w:t>抽查类型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  <w:t>事项</w:t>
            </w: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rightChars="-467" w:right="-1401" w:firstLineChars="100" w:firstLine="210"/>
              <w:jc w:val="both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  <w:t>抽</w:t>
            </w: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查时间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rightChars="-467" w:right="-1401"/>
              <w:jc w:val="both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实施股室</w:t>
            </w:r>
          </w:p>
        </w:tc>
      </w:tr>
      <w:tr>
        <w:trPr>
          <w:trHeight w:val="60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全县食品（食用农产品、特殊食品）销售单位抽查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eastAsia="zh-CN"/>
              </w:rPr>
              <w:t>定向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eastAsia="zh-CN"/>
              </w:rPr>
              <w:t>食品（食用农产品、特殊食品）销售监督检查。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eastAsia="zh-CN"/>
              </w:rPr>
              <w:t>食品（食用农产品、特殊食品）销售单位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30日之前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食品流通股</w:t>
            </w:r>
          </w:p>
        </w:tc>
      </w:tr>
      <w:tr>
        <w:trPr>
          <w:trHeight w:val="704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起重机械使用单位监督抽查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eastAsia="zh-CN"/>
              </w:rPr>
              <w:t>定向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eastAsia="zh-CN"/>
              </w:rPr>
              <w:t>对特种设备使 使用单位 用单位的监督。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spacing w:val="-8"/>
                <w:kern w:val="0"/>
                <w:sz w:val="21"/>
                <w:szCs w:val="21"/>
                <w:lang w:eastAsia="zh-CN"/>
              </w:rPr>
              <w:t>重点检查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spacing w:val="-8"/>
                <w:kern w:val="0"/>
                <w:sz w:val="21"/>
                <w:szCs w:val="21"/>
                <w:lang w:eastAsia="zh-CN"/>
              </w:rPr>
              <w:t>全县起重机械使用单位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6至</w:t>
            </w:r>
            <w:r>
              <w:rPr>
                <w:rFonts w:ascii="宋体" w:eastAsia="宋体" w:cs="宋体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ascii="宋体" w:eastAsia="宋体" w:cs="宋体" w:hint="eastAsia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特设</w:t>
            </w:r>
            <w:r>
              <w:rPr>
                <w:rFonts w:ascii="宋体" w:eastAsia="宋体" w:cs="宋体" w:hint="eastAsia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股</w:t>
            </w:r>
          </w:p>
        </w:tc>
      </w:tr>
      <w:tr>
        <w:trPr>
          <w:trHeight w:val="67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东源县食品相关产品生产企业抽查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定向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eastAsia="zh-CN"/>
              </w:rPr>
              <w:t>食品相关产品质量安全监督检查。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both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spacing w:val="-8"/>
                <w:kern w:val="0"/>
                <w:sz w:val="21"/>
                <w:szCs w:val="21"/>
                <w:lang w:val="en-US" w:eastAsia="zh-CN"/>
              </w:rPr>
              <w:t>重点检查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spacing w:val="-8"/>
                <w:kern w:val="0"/>
                <w:sz w:val="21"/>
                <w:szCs w:val="21"/>
                <w:lang w:eastAsia="zh-CN"/>
              </w:rPr>
              <w:t>全县食品相关产品获证企业（重点抽查</w:t>
            </w:r>
            <w:r>
              <w:rPr>
                <w:rFonts w:ascii="宋体" w:eastAsia="宋体" w:cs="宋体" w:hint="eastAsia"/>
                <w:color w:val="auto"/>
                <w:spacing w:val="-8"/>
                <w:kern w:val="0"/>
                <w:sz w:val="21"/>
                <w:szCs w:val="21"/>
                <w:lang w:val="en-US" w:eastAsia="zh-CN"/>
              </w:rPr>
              <w:t>工业和商用电热电动食品加工设备生产企业</w:t>
            </w:r>
            <w:r>
              <w:rPr>
                <w:rFonts w:ascii="宋体" w:eastAsia="宋体" w:cs="宋体" w:hint="eastAsia"/>
                <w:color w:val="auto"/>
                <w:spacing w:val="-8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eastAsia="宋体" w:cs="宋体" w:hint="eastAsia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至12月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食品生产股</w:t>
            </w:r>
          </w:p>
        </w:tc>
      </w:tr>
      <w:tr>
        <w:trPr>
          <w:trHeight w:val="67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东源县食品生产企业抽查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eastAsia="zh-CN"/>
              </w:rPr>
              <w:t>定向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eastAsia="zh-CN"/>
              </w:rPr>
              <w:t>食品生产监督检查。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both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spacing w:val="-8"/>
                <w:sz w:val="21"/>
                <w:szCs w:val="21"/>
                <w:lang w:val="en-US" w:eastAsia="zh-CN"/>
              </w:rPr>
              <w:t>重点检查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spacing w:val="-8"/>
                <w:sz w:val="21"/>
                <w:szCs w:val="21"/>
                <w:lang w:eastAsia="zh-CN"/>
              </w:rPr>
              <w:t>全县食品生产获证企业（重点抽查多次抽检不合格、被举报投诉的生产企业）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eastAsia="宋体" w:cs="宋体" w:hint="eastAsia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至12月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食品生产股</w:t>
            </w:r>
          </w:p>
        </w:tc>
      </w:tr>
      <w:tr>
        <w:trPr>
          <w:trHeight w:val="67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食品经营主体资格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eastAsia="zh-CN"/>
              </w:rPr>
              <w:t>定向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食品经营主体资格、食品安全制度落实情况、餐饮操作规范落实情况等</w:t>
            </w: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eastAsia="zh-CN"/>
              </w:rPr>
              <w:t>重点检查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养老机构、大型企业等食堂，集体用餐配送单位等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11月20号前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eastAsia="zh-CN"/>
              </w:rPr>
              <w:t>食品餐饮股</w:t>
            </w:r>
          </w:p>
        </w:tc>
      </w:tr>
    </w:tbl>
    <w:p>
      <w:pPr>
        <w:pStyle w:val="133"/>
        <w:ind w:left="0" w:firstLineChars="0" w:firstLine="0"/>
        <w:rPr>
          <w:rFonts w:ascii="黑体" w:eastAsia="黑体" w:cs="黑体" w:hint="eastAsia"/>
          <w:bCs/>
          <w:position w:val="-4"/>
          <w:sz w:val="32"/>
          <w:szCs w:val="32"/>
          <w:lang w:eastAsia="zh-CN"/>
        </w:rPr>
      </w:pPr>
    </w:p>
    <w:p>
      <w:pPr>
        <w:pStyle w:val="133"/>
        <w:ind w:left="0" w:firstLineChars="0" w:firstLine="0"/>
        <w:rPr>
          <w:rFonts w:ascii="黑体" w:eastAsia="黑体" w:cs="黑体" w:hint="eastAsia"/>
          <w:bCs/>
          <w:position w:val="-4"/>
          <w:sz w:val="32"/>
          <w:szCs w:val="32"/>
          <w:lang w:eastAsia="zh-CN"/>
        </w:rPr>
      </w:pPr>
    </w:p>
    <w:tbl>
      <w:tblPr>
        <w:tblpPr w:leftFromText="180" w:rightFromText="180" w:vertAnchor="text" w:horzAnchor="page" w:tblpX="1140" w:tblpY="226"/>
        <w:tblOverlap w:val="never"/>
        <w:tblW w:w="14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165"/>
        <w:gridCol w:w="1395"/>
        <w:gridCol w:w="1555"/>
        <w:gridCol w:w="1445"/>
        <w:gridCol w:w="3370"/>
        <w:gridCol w:w="1560"/>
        <w:gridCol w:w="1160"/>
      </w:tblGrid>
      <w:tr>
        <w:trPr>
          <w:trHeight w:val="653"/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  <w:t>抽查任务名称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firstLineChars="100" w:firstLine="210"/>
              <w:jc w:val="both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  <w:t>抽查类型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  <w:t>事项</w:t>
            </w: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rightChars="-467" w:right="-1401" w:firstLineChars="100" w:firstLine="210"/>
              <w:jc w:val="both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  <w:t>抽</w:t>
            </w: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查时间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rightChars="-467" w:right="-1401"/>
              <w:jc w:val="both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实施股室</w:t>
            </w:r>
          </w:p>
        </w:tc>
      </w:tr>
      <w:tr>
        <w:trPr>
          <w:trHeight w:val="100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直销行为检查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规范</w:t>
            </w: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直销经营行为。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直销企业及其分支机构、服务网点、直销员、经销商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12月31日前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价监竞争</w:t>
            </w:r>
            <w:r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股</w:t>
            </w:r>
          </w:p>
        </w:tc>
      </w:tr>
      <w:tr>
        <w:trPr>
          <w:trHeight w:val="601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县属广告发布单位定向检查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定向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广告发布情况的检查。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县属广告发布单位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12月底前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广告监督与</w:t>
            </w: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知识产权股</w:t>
            </w:r>
          </w:p>
        </w:tc>
      </w:tr>
      <w:tr>
        <w:trPr>
          <w:trHeight w:val="238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药品、医疗器械、保健食品等经营单位广告发布情况检查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定向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药品、医疗器械、保健食品、特殊医学用途配方食品广告主发布相关广告审查批准情况的检查。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药品、医疗器械、保健食品等</w:t>
            </w:r>
          </w:p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经营单位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12月底前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广告监督与</w:t>
            </w: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知识产权股</w:t>
            </w:r>
          </w:p>
        </w:tc>
      </w:tr>
      <w:tr>
        <w:trPr>
          <w:trHeight w:val="11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ind w:left="0" w:right="0" w:firstLine="0"/>
              <w:textAlignment w:val="auto"/>
              <w:outlineLvl w:val="9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对在用计量器具进行监督抽查性检定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定向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对在用计量器具进行监督抽查性检定</w:t>
            </w: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重点检查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对加油机、</w:t>
            </w: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眼镜</w:t>
            </w:r>
            <w:r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计量器具等进</w:t>
            </w:r>
          </w:p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行抽查检定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12月前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ind w:left="0" w:right="0" w:firstLine="0"/>
              <w:textAlignment w:val="auto"/>
              <w:outlineLvl w:val="9"/>
              <w:rPr>
                <w:rFonts w:eastAsia="宋体" w:cs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计量股</w:t>
            </w:r>
          </w:p>
        </w:tc>
      </w:tr>
      <w:tr>
        <w:trPr>
          <w:trHeight w:val="144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定量包装商品净含量（过度包装）专项计量监督抽查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定向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定量包装商品净含量（过度包装）专项计量监督抽查</w:t>
            </w: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对流通领域的定量包装商品净</w:t>
            </w:r>
          </w:p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含量进行抽检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11月前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计量股</w:t>
            </w:r>
          </w:p>
        </w:tc>
      </w:tr>
      <w:tr>
        <w:trPr>
          <w:trHeight w:val="754"/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  <w:t>抽查任务名称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firstLineChars="100" w:firstLine="210"/>
              <w:jc w:val="both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  <w:t>抽查类型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  <w:t>事项</w:t>
            </w: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rightChars="-467" w:right="-1401" w:firstLineChars="100" w:firstLine="210"/>
              <w:jc w:val="both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  <w:t>抽</w:t>
            </w: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查时间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rightChars="-467" w:right="-1401"/>
              <w:jc w:val="both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实施股室</w:t>
            </w:r>
          </w:p>
        </w:tc>
      </w:tr>
      <w:tr>
        <w:trPr>
          <w:trHeight w:val="1231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工业生产许可证获证企业双随机检查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工业生产许可证获证企业。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东源县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5至10月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质量股</w:t>
            </w:r>
          </w:p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140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知识产权商标代理行为的检查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定向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商标代理行为的检查。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经</w:t>
            </w:r>
            <w:r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市</w:t>
            </w: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场监管部门登记从事商标代理业务的服务机构（所）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1至12月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0" w:right="0" w:firstLine="0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广告监督与</w:t>
            </w: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知识产权股</w:t>
            </w:r>
          </w:p>
        </w:tc>
      </w:tr>
    </w:tbl>
    <w:p>
      <w:pPr>
        <w:spacing w:line="440" w:lineRule="exact"/>
        <w:rPr>
          <w:rFonts w:ascii="黑体" w:eastAsia="黑体" w:cs="黑体" w:hint="eastAsia"/>
          <w:bCs/>
          <w:position w:val="-4"/>
          <w:sz w:val="32"/>
          <w:szCs w:val="32"/>
          <w:lang w:eastAsia="zh-CN"/>
        </w:rPr>
      </w:pPr>
    </w:p>
    <w:p>
      <w:pPr>
        <w:pStyle w:val="133"/>
        <w:rPr>
          <w:rFonts w:ascii="黑体" w:eastAsia="黑体" w:cs="黑体"/>
          <w:bCs/>
          <w:position w:val="-4"/>
          <w:sz w:val="32"/>
          <w:szCs w:val="32"/>
          <w:lang w:eastAsia="zh-CN"/>
        </w:rPr>
      </w:pPr>
    </w:p>
    <w:p>
      <w:pPr>
        <w:pStyle w:val="133"/>
        <w:rPr>
          <w:rFonts w:ascii="黑体" w:eastAsia="黑体" w:cs="黑体"/>
          <w:bCs/>
          <w:position w:val="-4"/>
          <w:sz w:val="32"/>
          <w:szCs w:val="32"/>
          <w:lang w:eastAsia="zh-CN"/>
        </w:rPr>
      </w:pPr>
    </w:p>
    <w:p>
      <w:pPr>
        <w:pStyle w:val="133"/>
        <w:ind w:left="0" w:firstLineChars="0" w:firstLine="0"/>
        <w:rPr>
          <w:rFonts w:ascii="黑体" w:eastAsia="黑体" w:cs="黑体"/>
          <w:bCs/>
          <w:position w:val="-4"/>
          <w:sz w:val="32"/>
          <w:szCs w:val="32"/>
        </w:rPr>
      </w:pPr>
    </w:p>
    <w:sectPr>
      <w:footerReference w:type="default" r:id="rId2"/>
      <w:pgSz w:w="16839" w:h="11907" w:orient="landscape"/>
      <w:pgMar w:top="1800" w:right="1440" w:bottom="1800" w:left="1440" w:header="851" w:footer="992" w:gutter="0"/>
      <w:docGrid w:type="lines" w:linePitch="40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7"/>
      </w:tabs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30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6">
    <w:name w:val="index 6"/>
    <w:basedOn w:val="0"/>
    <w:autoRedefine/>
    <w:next w:val="0"/>
    <w:pPr>
      <w:ind w:left="2100"/>
    </w:pPr>
  </w:style>
  <w:style w:type="paragraph" w:styleId="32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33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customStyle="1" w:styleId="133">
    <w:name w:val="_Style 5"/>
    <w:basedOn w:val="0"/>
    <w:pPr>
      <w:widowControl w:val="0"/>
      <w:ind w:firstLineChars="200" w:firstLine="200"/>
      <w:jc w:val="both"/>
    </w:pPr>
    <w:rPr>
      <w:rFonts w:ascii="Times New Roman" w:eastAsia="宋体" w:cs="Times New Roman" w:hAnsi="Times New Roman"/>
      <w:kern w:val="2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22</Words>
  <Characters>25</Characters>
  <Lines>1</Lines>
  <Paragraphs>0</Paragraphs>
  <CharactersWithSpaces>25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邓雨文</dc:creator>
  <cp:lastModifiedBy>邓雨文</cp:lastModifiedBy>
  <cp:revision>1</cp:revision>
  <dcterms:created xsi:type="dcterms:W3CDTF">2023-03-28T09:01:03Z</dcterms:created>
  <dcterms:modified xsi:type="dcterms:W3CDTF">2023-03-28T09:02:03Z</dcterms:modified>
</cp:coreProperties>
</file>