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line="240" w:lineRule="auto"/>
        <w:jc w:val="center"/>
        <w:textAlignment w:val="baseline"/>
        <w:rPr>
          <w:rFonts w:hint="eastAsia" w:ascii="方正小标宋_GBK" w:hAnsi="方正小标宋_GBK" w:eastAsia="方正小标宋_GBK" w:cs="方正小标宋_GBK"/>
          <w:b w:val="0"/>
          <w:bCs w:val="0"/>
          <w:snapToGrid w:val="0"/>
          <w:color w:val="000000"/>
          <w:spacing w:val="0"/>
          <w:kern w:val="0"/>
          <w:sz w:val="40"/>
          <w:szCs w:val="40"/>
        </w:rPr>
      </w:pPr>
      <w:r>
        <w:rPr>
          <w:rFonts w:hint="eastAsia" w:ascii="方正小标宋_GBK" w:hAnsi="方正小标宋_GBK" w:eastAsia="方正小标宋_GBK" w:cs="方正小标宋_GBK"/>
          <w:b w:val="0"/>
          <w:bCs w:val="0"/>
          <w:snapToGrid w:val="0"/>
          <w:color w:val="000000"/>
          <w:spacing w:val="0"/>
          <w:kern w:val="0"/>
          <w:sz w:val="40"/>
          <w:szCs w:val="40"/>
          <w:lang w:val="en-US" w:eastAsia="zh-CN"/>
        </w:rPr>
        <w:t>河源市</w:t>
      </w:r>
      <w:r>
        <w:rPr>
          <w:rFonts w:hint="eastAsia" w:ascii="方正小标宋_GBK" w:hAnsi="方正小标宋_GBK" w:eastAsia="方正小标宋_GBK" w:cs="方正小标宋_GBK"/>
          <w:b w:val="0"/>
          <w:bCs w:val="0"/>
          <w:snapToGrid w:val="0"/>
          <w:color w:val="000000"/>
          <w:spacing w:val="0"/>
          <w:kern w:val="0"/>
          <w:sz w:val="40"/>
          <w:szCs w:val="40"/>
          <w:lang w:eastAsia="zh-CN"/>
        </w:rPr>
        <w:t>学府大桥</w:t>
      </w:r>
      <w:r>
        <w:rPr>
          <w:rFonts w:hint="eastAsia" w:ascii="方正小标宋_GBK" w:hAnsi="方正小标宋_GBK" w:eastAsia="方正小标宋_GBK" w:cs="方正小标宋_GBK"/>
          <w:b w:val="0"/>
          <w:bCs w:val="0"/>
          <w:snapToGrid w:val="0"/>
          <w:color w:val="000000"/>
          <w:spacing w:val="0"/>
          <w:kern w:val="0"/>
          <w:sz w:val="40"/>
          <w:szCs w:val="40"/>
        </w:rPr>
        <w:t>项目（东源段）房屋及</w:t>
      </w:r>
    </w:p>
    <w:p>
      <w:pPr>
        <w:widowControl/>
        <w:kinsoku w:val="0"/>
        <w:autoSpaceDE w:val="0"/>
        <w:autoSpaceDN w:val="0"/>
        <w:adjustRightInd w:val="0"/>
        <w:snapToGrid w:val="0"/>
        <w:spacing w:line="240" w:lineRule="auto"/>
        <w:jc w:val="center"/>
        <w:textAlignment w:val="baseline"/>
        <w:rPr>
          <w:rFonts w:hint="eastAsia" w:ascii="方正小标宋_GBK" w:hAnsi="方正小标宋_GBK" w:eastAsia="方正小标宋_GBK" w:cs="方正小标宋_GBK"/>
          <w:b w:val="0"/>
          <w:bCs w:val="0"/>
          <w:snapToGrid w:val="0"/>
          <w:color w:val="000000"/>
          <w:spacing w:val="0"/>
          <w:kern w:val="0"/>
          <w:sz w:val="40"/>
          <w:szCs w:val="40"/>
        </w:rPr>
      </w:pPr>
      <w:r>
        <w:rPr>
          <w:rFonts w:hint="eastAsia" w:ascii="方正小标宋_GBK" w:hAnsi="方正小标宋_GBK" w:eastAsia="方正小标宋_GBK" w:cs="方正小标宋_GBK"/>
          <w:b w:val="0"/>
          <w:bCs w:val="0"/>
          <w:snapToGrid w:val="0"/>
          <w:color w:val="000000"/>
          <w:spacing w:val="0"/>
          <w:kern w:val="0"/>
          <w:sz w:val="40"/>
          <w:szCs w:val="40"/>
        </w:rPr>
        <w:t>地上附着物征收与补偿安置方案</w:t>
      </w:r>
    </w:p>
    <w:p>
      <w:pPr>
        <w:widowControl/>
        <w:kinsoku w:val="0"/>
        <w:autoSpaceDE w:val="0"/>
        <w:autoSpaceDN w:val="0"/>
        <w:adjustRightInd w:val="0"/>
        <w:snapToGrid w:val="0"/>
        <w:spacing w:line="240" w:lineRule="auto"/>
        <w:jc w:val="center"/>
        <w:textAlignment w:val="baseline"/>
        <w:rPr>
          <w:rFonts w:hint="eastAsia" w:ascii="方正小标宋_GBK" w:hAnsi="方正小标宋_GBK" w:eastAsia="方正小标宋_GBK" w:cs="方正小标宋_GBK"/>
          <w:b w:val="0"/>
          <w:bCs w:val="0"/>
          <w:snapToGrid w:val="0"/>
          <w:color w:val="000000"/>
          <w:spacing w:val="0"/>
          <w:kern w:val="0"/>
          <w:sz w:val="40"/>
          <w:szCs w:val="40"/>
        </w:rPr>
      </w:pPr>
      <w:r>
        <w:rPr>
          <w:rFonts w:hint="eastAsia" w:ascii="方正小标宋_GBK" w:hAnsi="方正小标宋_GBK" w:eastAsia="方正小标宋_GBK" w:cs="方正小标宋_GBK"/>
          <w:b w:val="0"/>
          <w:bCs w:val="0"/>
          <w:snapToGrid w:val="0"/>
          <w:color w:val="000000"/>
          <w:spacing w:val="0"/>
          <w:kern w:val="0"/>
          <w:sz w:val="40"/>
          <w:szCs w:val="40"/>
        </w:rPr>
        <w:t>（</w:t>
      </w:r>
      <w:r>
        <w:rPr>
          <w:rFonts w:hint="eastAsia" w:ascii="方正小标宋_GBK" w:hAnsi="方正小标宋_GBK" w:eastAsia="方正小标宋_GBK" w:cs="方正小标宋_GBK"/>
          <w:sz w:val="36"/>
          <w:szCs w:val="36"/>
          <w:lang w:val="en-US" w:eastAsia="zh-CN"/>
        </w:rPr>
        <w:t>审议稿</w:t>
      </w:r>
      <w:r>
        <w:rPr>
          <w:rFonts w:hint="eastAsia" w:ascii="方正小标宋_GBK" w:hAnsi="方正小标宋_GBK" w:eastAsia="方正小标宋_GBK" w:cs="方正小标宋_GBK"/>
          <w:b w:val="0"/>
          <w:bCs w:val="0"/>
          <w:snapToGrid w:val="0"/>
          <w:color w:val="000000"/>
          <w:spacing w:val="0"/>
          <w:kern w:val="0"/>
          <w:sz w:val="40"/>
          <w:szCs w:val="40"/>
        </w:rPr>
        <w:t>）</w:t>
      </w:r>
    </w:p>
    <w:p>
      <w:pPr>
        <w:spacing w:line="360" w:lineRule="auto"/>
        <w:jc w:val="center"/>
        <w:rPr>
          <w:rFonts w:hint="eastAsia" w:ascii="宋体" w:hAnsi="宋体" w:eastAsia="宋体" w:cs="宋体"/>
          <w:b/>
          <w:bCs/>
          <w:spacing w:val="17"/>
          <w:sz w:val="28"/>
          <w:szCs w:val="28"/>
        </w:rPr>
      </w:pPr>
      <w:bookmarkStart w:id="0" w:name="_GoBack"/>
      <w:bookmarkEnd w:id="0"/>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为做好</w:t>
      </w:r>
      <w:r>
        <w:rPr>
          <w:rFonts w:hint="eastAsia" w:ascii="宋体" w:hAnsi="宋体" w:eastAsia="方正仿宋_GBK" w:cs="方正仿宋_GBK"/>
          <w:bCs/>
          <w:sz w:val="32"/>
          <w:szCs w:val="32"/>
          <w:lang w:eastAsia="zh-CN"/>
        </w:rPr>
        <w:t>河源市学府大桥项目（东源段）</w:t>
      </w:r>
      <w:r>
        <w:rPr>
          <w:rFonts w:hint="eastAsia" w:ascii="方正仿宋_GBK" w:hAnsi="方正仿宋_GBK" w:eastAsia="方正仿宋_GBK" w:cs="方正仿宋_GBK"/>
          <w:sz w:val="32"/>
          <w:szCs w:val="32"/>
        </w:rPr>
        <w:t>房屋及地上附着物征收工作，根据《国有土地上房屋征收与补偿条例》（国务院令第590号）《关于加强监督检查进一步规范征地拆迁行为的通知》（中纪办〔2011〕8号）等有关规定，结合我县实际，制定本方案。</w:t>
      </w:r>
    </w:p>
    <w:p>
      <w:pPr>
        <w:spacing w:line="540" w:lineRule="exact"/>
        <w:ind w:firstLine="69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一、征收概况</w:t>
      </w:r>
    </w:p>
    <w:p>
      <w:pPr>
        <w:spacing w:line="540" w:lineRule="exact"/>
        <w:ind w:firstLine="69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 征收范围</w:t>
      </w:r>
    </w:p>
    <w:p>
      <w:pPr>
        <w:spacing w:line="540" w:lineRule="exact"/>
        <w:ind w:firstLine="690" w:firstLineChars="200"/>
        <w:rPr>
          <w:rFonts w:ascii="方正仿宋_GBK" w:hAnsi="方正仿宋_GBK" w:eastAsia="方正仿宋_GBK" w:cs="方正仿宋_GBK"/>
          <w:sz w:val="32"/>
          <w:szCs w:val="32"/>
        </w:rPr>
      </w:pPr>
      <w:r>
        <w:rPr>
          <w:rFonts w:hint="eastAsia" w:ascii="宋体" w:hAnsi="宋体" w:eastAsia="方正仿宋_GBK" w:cs="方正仿宋_GBK"/>
          <w:bCs/>
          <w:sz w:val="32"/>
          <w:szCs w:val="32"/>
          <w:lang w:eastAsia="zh-CN"/>
        </w:rPr>
        <w:t>河源市学府大桥项目（东源段）</w:t>
      </w:r>
      <w:r>
        <w:rPr>
          <w:rFonts w:hint="eastAsia" w:ascii="方正仿宋_GBK" w:hAnsi="方正仿宋_GBK" w:eastAsia="方正仿宋_GBK" w:cs="方正仿宋_GBK"/>
          <w:sz w:val="32"/>
          <w:szCs w:val="32"/>
        </w:rPr>
        <w:t>拟征收仙塘镇</w:t>
      </w:r>
      <w:r>
        <w:rPr>
          <w:rFonts w:hint="eastAsia" w:ascii="方正仿宋_GBK" w:hAnsi="方正仿宋_GBK" w:eastAsia="方正仿宋_GBK" w:cs="方正仿宋_GBK"/>
          <w:sz w:val="32"/>
          <w:szCs w:val="32"/>
          <w:lang w:val="en-US" w:eastAsia="zh-CN"/>
        </w:rPr>
        <w:t>东方红</w:t>
      </w:r>
      <w:r>
        <w:rPr>
          <w:rFonts w:hint="eastAsia" w:ascii="宋体" w:hAnsi="宋体" w:eastAsia="方正仿宋_GBK" w:cs="方正仿宋_GBK"/>
          <w:bCs/>
          <w:sz w:val="32"/>
          <w:szCs w:val="32"/>
        </w:rPr>
        <w:t>村土地约</w:t>
      </w:r>
      <w:r>
        <w:rPr>
          <w:rFonts w:hint="eastAsia" w:ascii="方正仿宋_GBK" w:hAnsi="方正仿宋_GBK" w:eastAsia="方正仿宋_GBK" w:cs="方正仿宋_GBK"/>
          <w:color w:val="auto"/>
          <w:sz w:val="32"/>
          <w:szCs w:val="32"/>
          <w:highlight w:val="none"/>
          <w:lang w:val="en-US" w:eastAsia="zh-CN"/>
        </w:rPr>
        <w:t>323.7亩</w:t>
      </w:r>
      <w:r>
        <w:rPr>
          <w:rFonts w:hint="eastAsia" w:ascii="宋体" w:hAnsi="宋体" w:eastAsia="方正仿宋_GBK" w:cs="方正仿宋_GBK"/>
          <w:bCs/>
          <w:sz w:val="32"/>
          <w:szCs w:val="32"/>
          <w:highlight w:val="none"/>
        </w:rPr>
        <w:t>，</w:t>
      </w:r>
      <w:r>
        <w:rPr>
          <w:rFonts w:hint="eastAsia" w:ascii="宋体" w:hAnsi="宋体" w:eastAsia="方正仿宋_GBK" w:cs="方正仿宋_GBK"/>
          <w:bCs/>
          <w:color w:val="auto"/>
          <w:sz w:val="32"/>
          <w:szCs w:val="32"/>
          <w:highlight w:val="none"/>
          <w:lang w:val="en-US" w:eastAsia="zh-CN"/>
        </w:rPr>
        <w:t>东至东环路，南至市技工学校，西至东江河，北至东方红村。</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rPr>
        <w:t>具体按征地红线图为准）。</w:t>
      </w:r>
    </w:p>
    <w:p>
      <w:pPr>
        <w:spacing w:line="540" w:lineRule="exact"/>
        <w:ind w:firstLine="69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 征收规模</w:t>
      </w:r>
    </w:p>
    <w:p>
      <w:pPr>
        <w:spacing w:line="540" w:lineRule="exact"/>
        <w:ind w:firstLine="690" w:firstLineChars="200"/>
        <w:rPr>
          <w:rFonts w:ascii="方正仿宋_GBK" w:hAnsi="方正仿宋_GBK" w:eastAsia="方正仿宋_GBK" w:cs="方正仿宋_GBK"/>
          <w:color w:val="auto"/>
          <w:sz w:val="32"/>
          <w:szCs w:val="32"/>
        </w:rPr>
      </w:pPr>
      <w:r>
        <w:rPr>
          <w:rFonts w:hint="eastAsia" w:ascii="宋体" w:hAnsi="宋体" w:eastAsia="方正仿宋_GBK" w:cs="方正仿宋_GBK"/>
          <w:bCs/>
          <w:sz w:val="32"/>
          <w:szCs w:val="32"/>
          <w:lang w:eastAsia="zh-CN"/>
        </w:rPr>
        <w:t>河源市学府大桥项目（东源段）</w:t>
      </w:r>
      <w:r>
        <w:rPr>
          <w:rFonts w:hint="eastAsia" w:ascii="宋体" w:hAnsi="宋体" w:eastAsia="方正仿宋_GBK" w:cs="方正仿宋_GBK"/>
          <w:bCs/>
          <w:sz w:val="32"/>
          <w:szCs w:val="32"/>
        </w:rPr>
        <w:t>总用地面积约</w:t>
      </w:r>
      <w:r>
        <w:rPr>
          <w:rFonts w:hint="eastAsia" w:ascii="宋体" w:hAnsi="宋体" w:eastAsia="方正仿宋_GBK" w:cs="方正仿宋_GBK"/>
          <w:b w:val="0"/>
          <w:bCs/>
          <w:sz w:val="32"/>
          <w:szCs w:val="32"/>
          <w:highlight w:val="none"/>
          <w:lang w:val="en-US" w:eastAsia="zh-CN"/>
        </w:rPr>
        <w:t>323.7亩</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auto"/>
          <w:sz w:val="32"/>
          <w:szCs w:val="32"/>
        </w:rPr>
        <w:t>项目实施地上构建物征收范围内涉及征收住户约</w:t>
      </w:r>
      <w:r>
        <w:rPr>
          <w:rFonts w:hint="eastAsia" w:ascii="方正仿宋_GBK" w:hAnsi="方正仿宋_GBK" w:eastAsia="方正仿宋_GBK" w:cs="方正仿宋_GBK"/>
          <w:color w:val="auto"/>
          <w:sz w:val="32"/>
          <w:szCs w:val="32"/>
          <w:lang w:val="en-US" w:eastAsia="zh-CN"/>
        </w:rPr>
        <w:t>120户，99栋</w:t>
      </w:r>
      <w:r>
        <w:rPr>
          <w:rFonts w:hint="eastAsia" w:ascii="方正仿宋_GBK" w:hAnsi="方正仿宋_GBK" w:eastAsia="方正仿宋_GBK" w:cs="方正仿宋_GBK"/>
          <w:color w:val="auto"/>
          <w:sz w:val="32"/>
          <w:szCs w:val="32"/>
          <w:highlight w:val="none"/>
        </w:rPr>
        <w:t>，各类结构建筑物建筑面积约为</w:t>
      </w:r>
      <w:r>
        <w:rPr>
          <w:rFonts w:hint="eastAsia" w:ascii="方正仿宋_GBK" w:hAnsi="方正仿宋_GBK" w:eastAsia="方正仿宋_GBK" w:cs="方正仿宋_GBK"/>
          <w:color w:val="auto"/>
          <w:sz w:val="32"/>
          <w:szCs w:val="32"/>
          <w:highlight w:val="none"/>
          <w:lang w:val="en-US" w:eastAsia="zh-CN"/>
        </w:rPr>
        <w:t>2.8</w:t>
      </w:r>
      <w:r>
        <w:rPr>
          <w:rFonts w:hint="eastAsia" w:ascii="方正仿宋_GBK" w:hAnsi="方正仿宋_GBK" w:eastAsia="方正仿宋_GBK" w:cs="方正仿宋_GBK"/>
          <w:color w:val="auto"/>
          <w:sz w:val="32"/>
          <w:szCs w:val="32"/>
          <w:highlight w:val="none"/>
        </w:rPr>
        <w:t>万</w:t>
      </w:r>
      <w:r>
        <w:rPr>
          <w:rFonts w:hint="eastAsia" w:ascii="方正仿宋_GBK" w:hAnsi="方正仿宋_GBK" w:eastAsia="方正仿宋_GBK" w:cs="方正仿宋_GBK"/>
          <w:color w:val="auto"/>
          <w:sz w:val="32"/>
          <w:szCs w:val="32"/>
        </w:rPr>
        <w:t>平方米，最终以实际丈量为准。</w:t>
      </w:r>
    </w:p>
    <w:p>
      <w:pPr>
        <w:spacing w:line="540" w:lineRule="exact"/>
        <w:ind w:firstLine="69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（三）征收主体</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东源县房屋征收办公室为房屋征收部门。仙塘镇人民政府为房屋征收实施单位，办理征收补偿工作具体事宜，并接受上级部门的监管。</w:t>
      </w:r>
    </w:p>
    <w:p>
      <w:pPr>
        <w:spacing w:line="540" w:lineRule="exact"/>
        <w:ind w:firstLine="69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（四）适用范围</w:t>
      </w:r>
    </w:p>
    <w:p>
      <w:pPr>
        <w:spacing w:line="540" w:lineRule="exact"/>
        <w:ind w:firstLine="690" w:firstLineChars="200"/>
        <w:rPr>
          <w:rFonts w:ascii="方正仿宋_GBK" w:hAnsi="方正仿宋_GBK" w:eastAsia="方正仿宋_GBK" w:cs="方正仿宋_GBK"/>
          <w:sz w:val="32"/>
          <w:szCs w:val="32"/>
        </w:rPr>
      </w:pPr>
      <w:r>
        <w:rPr>
          <w:rFonts w:hint="eastAsia" w:ascii="宋体" w:hAnsi="宋体" w:eastAsia="方正仿宋_GBK" w:cs="方正仿宋_GBK"/>
          <w:bCs/>
          <w:sz w:val="32"/>
          <w:szCs w:val="32"/>
        </w:rPr>
        <w:t>本方案仅适用于</w:t>
      </w:r>
      <w:r>
        <w:rPr>
          <w:rFonts w:hint="eastAsia" w:ascii="宋体" w:hAnsi="宋体" w:eastAsia="方正仿宋_GBK" w:cs="方正仿宋_GBK"/>
          <w:bCs/>
          <w:sz w:val="32"/>
          <w:szCs w:val="32"/>
          <w:lang w:eastAsia="zh-CN"/>
        </w:rPr>
        <w:t>河源市学府大桥项目（东源段）</w:t>
      </w:r>
      <w:r>
        <w:rPr>
          <w:rFonts w:hint="eastAsia" w:ascii="方正仿宋_GBK" w:hAnsi="方正仿宋_GBK" w:eastAsia="方正仿宋_GBK" w:cs="方正仿宋_GBK"/>
          <w:sz w:val="32"/>
          <w:szCs w:val="32"/>
        </w:rPr>
        <w:t>征收房屋及地上附着物的补偿工作。</w:t>
      </w:r>
    </w:p>
    <w:p>
      <w:pPr>
        <w:spacing w:line="540" w:lineRule="exact"/>
        <w:ind w:firstLine="69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（五）征收补偿方式</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本项目对所有被征收的房屋，被征收人对被征收的合法家庭住房及祖屋可以选择货币补偿或产权置换。除本方案及县政府另有规定外，征收房屋以外的构筑物、其他附着物等实行货币补偿。</w:t>
      </w:r>
    </w:p>
    <w:p>
      <w:pPr>
        <w:spacing w:line="540" w:lineRule="exact"/>
        <w:ind w:firstLine="690" w:firstLineChars="200"/>
        <w:rPr>
          <w:rFonts w:ascii="宋体" w:hAnsi="宋体" w:eastAsia="方正仿宋_GBK" w:cs="方正仿宋_GBK"/>
          <w:bCs/>
          <w:sz w:val="32"/>
          <w:szCs w:val="32"/>
        </w:rPr>
      </w:pPr>
      <w:r>
        <w:rPr>
          <w:rFonts w:hint="eastAsia" w:ascii="方正楷体_GBK" w:hAnsi="方正楷体_GBK" w:eastAsia="方正楷体_GBK" w:cs="方正楷体_GBK"/>
          <w:color w:val="000000" w:themeColor="text1"/>
          <w:sz w:val="32"/>
          <w:szCs w:val="32"/>
          <w14:textFill>
            <w14:solidFill>
              <w14:schemeClr w14:val="tx1"/>
            </w14:solidFill>
          </w14:textFill>
        </w:rPr>
        <w:t>（六）补偿原则与范围</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val="0"/>
          <w:sz w:val="32"/>
          <w:szCs w:val="32"/>
        </w:rPr>
        <w:t>1.</w:t>
      </w:r>
      <w:r>
        <w:rPr>
          <w:rFonts w:hint="eastAsia" w:ascii="宋体" w:hAnsi="宋体" w:eastAsia="方正仿宋_GBK" w:cs="方正仿宋_GBK"/>
          <w:bCs/>
          <w:sz w:val="32"/>
          <w:szCs w:val="32"/>
        </w:rPr>
        <w:t>征收人除对被征收人的建（构）筑物（含装修装饰）、临时建（构）筑物及地上附</w:t>
      </w:r>
      <w:r>
        <w:rPr>
          <w:rFonts w:hint="eastAsia" w:ascii="方正仿宋_GBK" w:hAnsi="方正仿宋_GBK" w:eastAsia="方正仿宋_GBK" w:cs="方正仿宋_GBK"/>
          <w:sz w:val="32"/>
          <w:szCs w:val="32"/>
        </w:rPr>
        <w:t>着物等进行补偿外，在不造成重复补偿的前提下，根据实际情况，还需向被征收人补偿搬迁费、过渡期房租费、停产停业补偿费等，符合本方案征收奖励规定的，被征收人还可以取得根据本方案规定的征收奖励。</w:t>
      </w:r>
    </w:p>
    <w:p>
      <w:pPr>
        <w:spacing w:line="540" w:lineRule="exact"/>
        <w:ind w:left="63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2.对被征收人给予的补偿包括:</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（1）被征收房屋价值的补偿；</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（2）因征收房屋造成的搬迁、过渡期房租的补偿；</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（3）因征收房屋造成的停产停业损失的补偿。</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3.征收范围内建筑物性质的界定工作由县自然资源局、县住建局、县城管综合执法局、县房屋征收办、仙塘镇政府、</w:t>
      </w:r>
      <w:r>
        <w:rPr>
          <w:rFonts w:hint="eastAsia" w:ascii="方正仿宋_GBK" w:hAnsi="方正仿宋_GBK" w:eastAsia="方正仿宋_GBK" w:cs="方正仿宋_GBK"/>
          <w:sz w:val="32"/>
          <w:szCs w:val="32"/>
          <w:lang w:val="en-US" w:eastAsia="zh-CN"/>
        </w:rPr>
        <w:t>东方红</w:t>
      </w:r>
      <w:r>
        <w:rPr>
          <w:rFonts w:hint="eastAsia" w:ascii="方正仿宋_GBK" w:hAnsi="方正仿宋_GBK" w:eastAsia="方正仿宋_GBK" w:cs="方正仿宋_GBK"/>
          <w:sz w:val="32"/>
          <w:szCs w:val="32"/>
        </w:rPr>
        <w:t>村委会共同负责。按有门窗、有装修、有人居住为界定标准，对被征收房屋进行界定工作。</w:t>
      </w:r>
    </w:p>
    <w:p>
      <w:pPr>
        <w:spacing w:line="540" w:lineRule="exact"/>
        <w:ind w:firstLine="690" w:firstLineChars="200"/>
        <w:rPr>
          <w:rFonts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sz w:val="32"/>
          <w:szCs w:val="32"/>
          <w:highlight w:val="none"/>
        </w:rPr>
        <w:t>4.</w:t>
      </w:r>
      <w:r>
        <w:rPr>
          <w:rFonts w:hint="eastAsia" w:ascii="方正仿宋_GBK" w:hAnsi="方正仿宋_GBK" w:eastAsia="方正仿宋_GBK" w:cs="方正仿宋_GBK"/>
          <w:color w:val="auto"/>
          <w:sz w:val="32"/>
          <w:szCs w:val="32"/>
          <w:highlight w:val="none"/>
        </w:rPr>
        <w:t>对认定为合法家庭住房、祖屋及老宅的</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含飘檐面积</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，按照市场评估价给予补偿；对认定为农业生产设施及其他建筑的，给予建筑成本价补偿及地价补偿。对认定为违法违章建筑和超过批准期限的临时建筑，不予补偿。</w:t>
      </w:r>
    </w:p>
    <w:p>
      <w:pPr>
        <w:spacing w:line="540" w:lineRule="exact"/>
        <w:ind w:firstLine="69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（七）签订征收补偿协议期限</w:t>
      </w:r>
    </w:p>
    <w:p>
      <w:pPr>
        <w:spacing w:line="540" w:lineRule="exact"/>
        <w:ind w:firstLine="69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自发布房屋征收决定公告之日起3个月内。</w:t>
      </w:r>
    </w:p>
    <w:p>
      <w:pPr>
        <w:spacing w:line="540" w:lineRule="exact"/>
        <w:ind w:firstLine="690" w:firstLineChars="200"/>
        <w:rPr>
          <w:rFonts w:ascii="方正仿宋_GBK" w:hAnsi="方正仿宋_GBK" w:eastAsia="方正仿宋_GBK" w:cs="方正仿宋_GBK"/>
          <w:color w:val="auto"/>
          <w:sz w:val="32"/>
          <w:szCs w:val="32"/>
        </w:rPr>
      </w:pPr>
      <w:r>
        <w:rPr>
          <w:rFonts w:hint="eastAsia" w:ascii="方正楷体_GBK" w:hAnsi="方正楷体_GBK" w:eastAsia="方正楷体_GBK" w:cs="方正楷体_GBK"/>
          <w:color w:val="000000" w:themeColor="text1"/>
          <w:sz w:val="32"/>
          <w:szCs w:val="32"/>
          <w14:textFill>
            <w14:solidFill>
              <w14:schemeClr w14:val="tx1"/>
            </w14:solidFill>
          </w14:textFill>
        </w:rPr>
        <w:t>（八）</w:t>
      </w:r>
      <w:r>
        <w:rPr>
          <w:rFonts w:hint="eastAsia" w:ascii="方正楷体_GBK" w:hAnsi="方正楷体_GBK" w:eastAsia="方正楷体_GBK" w:cs="方正楷体_GBK"/>
          <w:color w:val="auto"/>
          <w:sz w:val="32"/>
          <w:szCs w:val="32"/>
        </w:rPr>
        <w:t>搬迁腾空房屋期限</w:t>
      </w:r>
    </w:p>
    <w:p>
      <w:pPr>
        <w:spacing w:line="540" w:lineRule="exact"/>
        <w:ind w:firstLine="69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自协议签订之日起10天内。</w:t>
      </w:r>
    </w:p>
    <w:p>
      <w:pPr>
        <w:spacing w:line="540" w:lineRule="exact"/>
        <w:ind w:firstLine="69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（九）评估时点</w:t>
      </w:r>
    </w:p>
    <w:p>
      <w:pPr>
        <w:spacing w:line="540" w:lineRule="exact"/>
        <w:ind w:left="470" w:leftChars="200" w:firstLine="345"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发布房屋征收决定公告之日。</w:t>
      </w:r>
    </w:p>
    <w:p>
      <w:pPr>
        <w:spacing w:line="540" w:lineRule="exact"/>
        <w:ind w:firstLine="69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（十）候选房地产价格评估机构</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1.深圳同致诚土地房地产估价顾问有限公司河源分公司</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2.河源市正大资产土地房地产估价顾问有限公司</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3.深圳市新峰土地房地产评估有限公司</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4.河源市德颐土地房地产资产评估有限公司</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5.广东致诚土地房地产评估与规划设计有限公司</w:t>
      </w:r>
    </w:p>
    <w:p>
      <w:pPr>
        <w:spacing w:line="540" w:lineRule="exact"/>
        <w:ind w:firstLine="69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（十一）征收实施步骤</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自发布本项目房屋征收决定后，按照以下程序开展房屋征收工作:</w:t>
      </w:r>
    </w:p>
    <w:p>
      <w:pPr>
        <w:numPr>
          <w:ilvl w:val="0"/>
          <w:numId w:val="1"/>
        </w:num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现场公示:</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宋体" w:hAnsi="宋体" w:eastAsia="方正仿宋_GBK" w:cs="方正仿宋_GBK"/>
          <w:bCs/>
          <w:sz w:val="32"/>
          <w:szCs w:val="32"/>
          <w:lang w:eastAsia="zh-CN"/>
        </w:rPr>
        <w:t>河源市学府大桥项目（东源段）</w:t>
      </w:r>
      <w:r>
        <w:rPr>
          <w:rFonts w:hint="eastAsia" w:ascii="方正仿宋_GBK" w:hAnsi="方正仿宋_GBK" w:eastAsia="方正仿宋_GBK" w:cs="方正仿宋_GBK"/>
          <w:sz w:val="32"/>
          <w:szCs w:val="32"/>
        </w:rPr>
        <w:t>房屋及地上附着物征收的决定公告》。</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宋体" w:hAnsi="宋体" w:eastAsia="方正仿宋_GBK" w:cs="方正仿宋_GBK"/>
          <w:bCs/>
          <w:sz w:val="32"/>
          <w:szCs w:val="32"/>
          <w:lang w:eastAsia="zh-CN"/>
        </w:rPr>
        <w:t>河源市学府大桥项目（东源段）</w:t>
      </w:r>
      <w:r>
        <w:rPr>
          <w:rFonts w:hint="eastAsia" w:ascii="方正仿宋_GBK" w:hAnsi="方正仿宋_GBK" w:eastAsia="方正仿宋_GBK" w:cs="方正仿宋_GBK"/>
          <w:sz w:val="32"/>
          <w:szCs w:val="32"/>
        </w:rPr>
        <w:t>房屋及地上附着物征收与补偿</w:t>
      </w:r>
      <w:r>
        <w:rPr>
          <w:rFonts w:hint="eastAsia" w:ascii="方正仿宋_GBK" w:hAnsi="方正仿宋_GBK" w:eastAsia="方正仿宋_GBK" w:cs="方正仿宋_GBK"/>
          <w:sz w:val="32"/>
          <w:szCs w:val="32"/>
          <w:lang w:val="en-US" w:eastAsia="zh-CN"/>
        </w:rPr>
        <w:t>安置</w:t>
      </w:r>
      <w:r>
        <w:rPr>
          <w:rFonts w:hint="eastAsia" w:ascii="方正仿宋_GBK" w:hAnsi="方正仿宋_GBK" w:eastAsia="方正仿宋_GBK" w:cs="方正仿宋_GBK"/>
          <w:sz w:val="32"/>
          <w:szCs w:val="32"/>
        </w:rPr>
        <w:t>方案》。</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（3）国家、省、市、县房屋征收与补偿有关的法规、规范性文件等。</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（4）征收实施单位名称、征收工作人员。</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宣传《</w:t>
      </w:r>
      <w:r>
        <w:rPr>
          <w:rFonts w:hint="eastAsia" w:ascii="宋体" w:hAnsi="宋体" w:eastAsia="方正仿宋_GBK" w:cs="方正仿宋_GBK"/>
          <w:bCs/>
          <w:sz w:val="32"/>
          <w:szCs w:val="32"/>
          <w:lang w:eastAsia="zh-CN"/>
        </w:rPr>
        <w:t>河源市学府大桥项目（东源段）</w:t>
      </w:r>
      <w:r>
        <w:rPr>
          <w:rFonts w:hint="eastAsia" w:ascii="方正仿宋_GBK" w:hAnsi="方正仿宋_GBK" w:eastAsia="方正仿宋_GBK" w:cs="方正仿宋_GBK"/>
          <w:sz w:val="32"/>
          <w:szCs w:val="32"/>
        </w:rPr>
        <w:t>房屋及地上附着物征收与补偿</w:t>
      </w:r>
      <w:r>
        <w:rPr>
          <w:rFonts w:hint="eastAsia" w:ascii="方正仿宋_GBK" w:hAnsi="方正仿宋_GBK" w:eastAsia="方正仿宋_GBK" w:cs="方正仿宋_GBK"/>
          <w:sz w:val="32"/>
          <w:szCs w:val="32"/>
          <w:lang w:val="en-US" w:eastAsia="zh-CN"/>
        </w:rPr>
        <w:t>安置</w:t>
      </w:r>
      <w:r>
        <w:rPr>
          <w:rFonts w:hint="eastAsia" w:ascii="方正仿宋_GBK" w:hAnsi="方正仿宋_GBK" w:eastAsia="方正仿宋_GBK" w:cs="方正仿宋_GBK"/>
          <w:sz w:val="32"/>
          <w:szCs w:val="32"/>
        </w:rPr>
        <w:t>方案》。</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确定房地产评估机构，评估机构由被征收人协商选定，协商不成的，由镇房屋征收部门组织被征收人通过多数决定、随机选定等方式确定。</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评估机构对被征收范围内房屋进行评估。被征收人应当协助评估机构估价师对被征收房屋进行实地查勘，提供或者协助搜集被征收房屋价值评估所必需的情况和资料。</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公示初步评估结果。房屋征收实施单位应当将初步评估结果在征收范围内向被征收人公示。公示期间，评估机构应当安排估价师对初步评估结果进行现场说明</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rPr>
        <w:t>解释。对评估结果有异议的，可以向房地产价格评估机构申请复核评估。对复核结果有异议的，可以向房地产价格评估专家委员会申请鉴定。</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 签约期限内，由征收实施单位与被征收人签订征收补偿协议。签订补偿协议时被征收人需</w:t>
      </w:r>
      <w:r>
        <w:rPr>
          <w:rFonts w:hint="eastAsia" w:ascii="方正仿宋_GBK" w:hAnsi="方正仿宋_GBK" w:eastAsia="方正仿宋_GBK" w:cs="方正仿宋_GBK"/>
          <w:sz w:val="32"/>
          <w:szCs w:val="32"/>
          <w:lang w:val="en-US" w:eastAsia="zh-CN"/>
        </w:rPr>
        <w:t>携</w:t>
      </w:r>
      <w:r>
        <w:rPr>
          <w:rFonts w:hint="eastAsia" w:ascii="方正仿宋_GBK" w:hAnsi="方正仿宋_GBK" w:eastAsia="方正仿宋_GBK" w:cs="方正仿宋_GBK"/>
          <w:sz w:val="32"/>
          <w:szCs w:val="32"/>
        </w:rPr>
        <w:t>带房屋所有权证、国有土地使用权证、户口簿、身份证、营业执照等原件和复印件，房屋征收实施单位应收回房屋所有权证、国有土地使用权证等原证件材料。</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 签约期限届满，被征收人未能达成补偿协议的，由镇房屋征收部门报请县政府，按照房屋征收补偿方案作出房屋征收补偿决定，并在房屋征收范围内予以公告。</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应当自觉履行房屋征收补偿决定，如不服该征收补偿决定，可以在房屋征收补偿决定作出之日起60日内依法申请行政复议（在行政复议期间不得向人民法院提起诉讼，或者在6个月内向人民法院提起行政诉讼）。</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被征收人在法定期限内既不申请行政复议又不提起行政诉讼，在补偿决定规定的期限内又不搬迁的，由县政府申请法院强制执行。</w:t>
      </w:r>
    </w:p>
    <w:p>
      <w:pPr>
        <w:numPr>
          <w:ilvl w:val="0"/>
          <w:numId w:val="2"/>
        </w:num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在签订补偿协议领取首期补偿款并搬迁完毕，经征收工作人员验收后领取补偿尾款，补偿工作结束。</w:t>
      </w:r>
    </w:p>
    <w:p>
      <w:pPr>
        <w:spacing w:line="540" w:lineRule="exact"/>
        <w:ind w:firstLine="69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（十二）其他有关事项</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被征收房屋的水、电、固定电话、有线电视、宽带网络、管道燃气等迁移、转户、销户手续，由被征收人自行到有关部门申请办理，并负责结清已使用的水、电、电话、电视、燃气等费用。</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征收房屋涉及的中、小学生需要异地就学的，可以在现居住地学校就读；需要过渡临时就学的，可以在临时居住地学校就读；需要回迁就学的，可以在回迁居住地学校就读。学生居住地教育行政主管部门负责安排办理有关学生的转学工作，所在学校不得收取择校费或者以非本学区学生为由拒绝学生入学和收取其他费用。</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被征收房屋的注销登记。房屋征收实施单位应当在被征收房屋拆除后30日内，持房屋征收决定、补偿协议、房屋所有权证书、国有土地使用权证书办理房屋所有权、土地使用权注销登记手续。</w:t>
      </w:r>
    </w:p>
    <w:p>
      <w:pPr>
        <w:spacing w:line="240" w:lineRule="auto"/>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征收产权不明确的房屋，由房屋征收实施单位提出补偿方案，报县政府同意，并向司法公证机关办理证据保全后实施征收待产权明确后再补偿给产权所有人。</w:t>
      </w:r>
    </w:p>
    <w:p>
      <w:pPr>
        <w:spacing w:line="540" w:lineRule="exact"/>
        <w:ind w:firstLine="69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本方案未列明事项按《国有土地上房屋征收与补偿条例》（国务院令第590号）</w:t>
      </w:r>
      <w:r>
        <w:rPr>
          <w:rFonts w:hint="eastAsia" w:ascii="方正仿宋_GBK" w:hAnsi="方正仿宋_GBK" w:eastAsia="方正仿宋_GBK" w:cs="方正仿宋_GBK"/>
          <w:sz w:val="32"/>
          <w:szCs w:val="32"/>
          <w:lang w:eastAsia="zh-CN"/>
        </w:rPr>
        <w:t>及</w:t>
      </w:r>
      <w:r>
        <w:rPr>
          <w:rFonts w:hint="eastAsia" w:ascii="方正仿宋_GBK" w:hAnsi="方正仿宋_GBK" w:eastAsia="方正仿宋_GBK" w:cs="方正仿宋_GBK"/>
          <w:sz w:val="32"/>
          <w:szCs w:val="32"/>
        </w:rPr>
        <w:t>市、县政府相关文件执行。</w:t>
      </w:r>
    </w:p>
    <w:p>
      <w:pPr>
        <w:spacing w:line="360" w:lineRule="auto"/>
        <w:jc w:val="both"/>
        <w:rPr>
          <w:rFonts w:hint="eastAsia" w:ascii="宋体" w:hAnsi="宋体" w:eastAsia="宋体" w:cs="宋体"/>
          <w:b/>
          <w:bCs/>
          <w:spacing w:val="17"/>
          <w:sz w:val="28"/>
          <w:szCs w:val="28"/>
        </w:rPr>
      </w:pPr>
    </w:p>
    <w:p>
      <w:pPr>
        <w:spacing w:line="360" w:lineRule="auto"/>
        <w:jc w:val="center"/>
        <w:rPr>
          <w:rFonts w:hint="eastAsia" w:ascii="宋体" w:hAnsi="宋体" w:eastAsia="宋体" w:cs="宋体"/>
          <w:b/>
          <w:bCs/>
          <w:spacing w:val="17"/>
          <w:sz w:val="28"/>
          <w:szCs w:val="28"/>
        </w:rPr>
      </w:pPr>
    </w:p>
    <w:p>
      <w:pPr>
        <w:spacing w:line="360" w:lineRule="auto"/>
        <w:jc w:val="center"/>
        <w:rPr>
          <w:rFonts w:hint="eastAsia" w:ascii="宋体" w:hAnsi="宋体" w:eastAsia="宋体" w:cs="宋体"/>
          <w:b/>
          <w:bCs/>
          <w:spacing w:val="17"/>
          <w:sz w:val="28"/>
          <w:szCs w:val="28"/>
        </w:rPr>
      </w:pPr>
    </w:p>
    <w:p>
      <w:pPr>
        <w:spacing w:line="240" w:lineRule="auto"/>
        <w:ind w:firstLine="0" w:firstLineChars="0"/>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br w:type="page"/>
      </w:r>
    </w:p>
    <w:p>
      <w:pPr>
        <w:spacing w:line="540" w:lineRule="exact"/>
        <w:ind w:firstLine="690" w:firstLineChars="200"/>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二、安置补偿方式</w:t>
      </w:r>
    </w:p>
    <w:p>
      <w:pPr>
        <w:spacing w:line="540" w:lineRule="exact"/>
        <w:ind w:firstLine="690" w:firstLineChars="200"/>
        <w:rPr>
          <w:rFonts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（一）货币补偿方式</w:t>
      </w:r>
    </w:p>
    <w:p>
      <w:pPr>
        <w:spacing w:line="540" w:lineRule="exact"/>
        <w:ind w:firstLine="690" w:firstLineChars="20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被征收人被征收房屋的补偿金额，由镇房屋征收小组协同被征收人选定具有相应资质的房地产评估机构参照《国有土地上房屋征收评估办法》（建房〔2011〕77号）及河源</w:t>
      </w:r>
      <w:r>
        <w:rPr>
          <w:rFonts w:hint="eastAsia" w:ascii="方正仿宋_GBK" w:hAnsi="方正仿宋_GBK" w:eastAsia="方正仿宋_GBK" w:cs="方正仿宋_GBK"/>
          <w:sz w:val="32"/>
          <w:szCs w:val="32"/>
        </w:rPr>
        <w:t>市、县政府</w:t>
      </w:r>
      <w:r>
        <w:rPr>
          <w:rFonts w:hint="eastAsia" w:ascii="方正仿宋_GBK" w:hAnsi="方正仿宋_GBK" w:eastAsia="方正仿宋_GBK" w:cs="方正仿宋_GBK"/>
          <w:sz w:val="32"/>
          <w:szCs w:val="32"/>
          <w:highlight w:val="none"/>
        </w:rPr>
        <w:t>征收相关规定进行评估确定。</w:t>
      </w:r>
    </w:p>
    <w:p>
      <w:pPr>
        <w:spacing w:line="540" w:lineRule="exact"/>
        <w:ind w:firstLine="69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货币补偿在签订补偿协议之日起5个工作日内支付50%补偿款，被征收人必须在10天内搬迁完毕；房屋搬迁后5个工作日内再支付50%补偿款。已作补偿的建（构）筑物及附属物归政府所有，被征收人不得毁坏和自行拆除（房屋征收实施单位同意的除外），如被征收人自行拆除，因拆除房屋或拆除后留下的残墙断壁造成的安全责任事故，由被征收人负全责。</w:t>
      </w:r>
    </w:p>
    <w:p>
      <w:pPr>
        <w:spacing w:line="540" w:lineRule="exact"/>
        <w:ind w:firstLine="650" w:firstLineChars="200"/>
        <w:rPr>
          <w:rFonts w:ascii="方正楷体_GBK" w:hAnsi="方正楷体_GBK" w:eastAsia="方正楷体_GBK" w:cs="方正楷体_GBK"/>
          <w:sz w:val="30"/>
          <w:szCs w:val="30"/>
          <w:highlight w:val="none"/>
        </w:rPr>
      </w:pPr>
      <w:r>
        <w:rPr>
          <w:rFonts w:hint="eastAsia" w:ascii="方正楷体_GBK" w:hAnsi="方正楷体_GBK" w:eastAsia="方正楷体_GBK" w:cs="方正楷体_GBK"/>
          <w:sz w:val="30"/>
          <w:szCs w:val="30"/>
          <w:highlight w:val="none"/>
        </w:rPr>
        <w:t>（</w:t>
      </w:r>
      <w:r>
        <w:rPr>
          <w:rFonts w:hint="eastAsia" w:ascii="方正楷体_GBK" w:hAnsi="方正楷体_GBK" w:eastAsia="方正楷体_GBK" w:cs="方正楷体_GBK"/>
          <w:sz w:val="30"/>
          <w:szCs w:val="30"/>
          <w:highlight w:val="none"/>
          <w:lang w:val="en-US" w:eastAsia="zh-CN"/>
        </w:rPr>
        <w:t>二</w:t>
      </w:r>
      <w:r>
        <w:rPr>
          <w:rFonts w:hint="eastAsia" w:ascii="方正楷体_GBK" w:hAnsi="方正楷体_GBK" w:eastAsia="方正楷体_GBK" w:cs="方正楷体_GBK"/>
          <w:sz w:val="30"/>
          <w:szCs w:val="30"/>
          <w:highlight w:val="none"/>
        </w:rPr>
        <w:t>）</w:t>
      </w:r>
      <w:r>
        <w:rPr>
          <w:rFonts w:hint="eastAsia" w:ascii="方正楷体_GBK" w:hAnsi="方正楷体_GBK" w:eastAsia="方正楷体_GBK" w:cs="方正楷体_GBK"/>
          <w:sz w:val="30"/>
          <w:szCs w:val="30"/>
          <w:highlight w:val="none"/>
          <w:lang w:val="en-US" w:eastAsia="zh-CN"/>
        </w:rPr>
        <w:t>产权置换</w:t>
      </w:r>
      <w:r>
        <w:rPr>
          <w:rFonts w:hint="eastAsia" w:ascii="方正楷体_GBK" w:hAnsi="方正楷体_GBK" w:eastAsia="方正楷体_GBK" w:cs="方正楷体_GBK"/>
          <w:sz w:val="30"/>
          <w:szCs w:val="30"/>
          <w:highlight w:val="none"/>
        </w:rPr>
        <w:t>方式</w:t>
      </w:r>
    </w:p>
    <w:p>
      <w:pPr>
        <w:spacing w:line="540" w:lineRule="exact"/>
        <w:ind w:firstLine="650" w:firstLineChars="200"/>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根据《国有土地上房屋征收与补偿条例》〔国务院令 (2011)第 590号〕等法律法规的有关规定。房屋征收实施单位应提供相应数量的产权调换房屋(以下简称安置房) 供被征收人进行选择。</w:t>
      </w:r>
    </w:p>
    <w:p>
      <w:pPr>
        <w:spacing w:line="540" w:lineRule="exact"/>
        <w:ind w:firstLine="69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(1)产权调换的原则与标准:</w:t>
      </w:r>
    </w:p>
    <w:p>
      <w:pPr>
        <w:spacing w:line="540" w:lineRule="exact"/>
        <w:ind w:firstLine="690" w:firstLineChars="200"/>
        <w:rPr>
          <w:rFonts w:hint="eastAsia" w:ascii="方正仿宋_GBK" w:hAnsi="方正仿宋_GBK" w:eastAsia="方正仿宋_GBK" w:cs="方正仿宋_GBK"/>
          <w:sz w:val="32"/>
          <w:szCs w:val="32"/>
          <w:highlight w:val="none"/>
        </w:rPr>
      </w:pPr>
      <w:r>
        <w:rPr>
          <w:rFonts w:hint="default" w:ascii="Calibri" w:hAnsi="Calibri" w:eastAsia="方正仿宋_GBK" w:cs="Calibri"/>
          <w:sz w:val="32"/>
          <w:szCs w:val="32"/>
          <w:highlight w:val="none"/>
        </w:rPr>
        <w:t>①</w:t>
      </w:r>
      <w:r>
        <w:rPr>
          <w:rFonts w:hint="eastAsia" w:ascii="方正仿宋_GBK" w:hAnsi="方正仿宋_GBK" w:eastAsia="方正仿宋_GBK" w:cs="方正仿宋_GBK"/>
          <w:sz w:val="32"/>
          <w:szCs w:val="32"/>
          <w:highlight w:val="none"/>
        </w:rPr>
        <w:t>单层框架及砖瓦房屋</w:t>
      </w:r>
      <w:r>
        <w:rPr>
          <w:rFonts w:hint="eastAsia" w:ascii="方正仿宋_GBK" w:hAnsi="方正仿宋_GBK" w:eastAsia="方正仿宋_GBK" w:cs="方正仿宋_GBK"/>
          <w:sz w:val="32"/>
          <w:szCs w:val="32"/>
          <w:highlight w:val="none"/>
          <w:lang w:val="en-US" w:eastAsia="zh-CN"/>
        </w:rPr>
        <w:t>(祖屋)</w:t>
      </w:r>
      <w:r>
        <w:rPr>
          <w:rFonts w:hint="eastAsia" w:ascii="方正仿宋_GBK" w:hAnsi="方正仿宋_GBK" w:eastAsia="方正仿宋_GBK" w:cs="方正仿宋_GBK"/>
          <w:sz w:val="32"/>
          <w:szCs w:val="32"/>
          <w:highlight w:val="none"/>
        </w:rPr>
        <w:t>进行置换，以建筑面积按 1:1.25 的比例进行置换 ;两层以上 (含两层) 的房屋第一层以建筑面积按1:1.15的比例进行置换</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二至四层以建筑面积按1:1.05的比例进行置换</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五层以上以建筑面积按 1: 1的比例进行置换;二层以上结构(如红砖铁皮、石棉瓦、树脂瓦等) 以建筑面积按 1:0.95的比例进行置换;楼梯间 (如红砖铁皮、树脂瓦</w:t>
      </w:r>
      <w:r>
        <w:rPr>
          <w:rFonts w:hint="eastAsia" w:ascii="方正仿宋_GBK" w:hAnsi="方正仿宋_GBK" w:eastAsia="方正仿宋_GBK" w:cs="方正仿宋_GBK"/>
          <w:sz w:val="32"/>
          <w:szCs w:val="32"/>
          <w:highlight w:val="none"/>
          <w:lang w:eastAsia="zh-CN"/>
        </w:rPr>
        <w:t>等</w:t>
      </w:r>
      <w:r>
        <w:rPr>
          <w:rFonts w:hint="eastAsia" w:ascii="方正仿宋_GBK" w:hAnsi="方正仿宋_GBK" w:eastAsia="方正仿宋_GBK" w:cs="方正仿宋_GBK"/>
          <w:sz w:val="32"/>
          <w:szCs w:val="32"/>
          <w:highlight w:val="none"/>
        </w:rPr>
        <w:t>) 不作产权置换只作货币补偿。</w:t>
      </w:r>
    </w:p>
    <w:p>
      <w:pPr>
        <w:spacing w:line="540" w:lineRule="exact"/>
        <w:ind w:firstLine="690" w:firstLineChars="200"/>
        <w:rPr>
          <w:rFonts w:hint="eastAsia" w:ascii="方正仿宋_GBK" w:hAnsi="方正仿宋_GBK" w:eastAsia="方正仿宋_GBK" w:cs="方正仿宋_GBK"/>
          <w:sz w:val="32"/>
          <w:szCs w:val="32"/>
          <w:highlight w:val="none"/>
        </w:rPr>
      </w:pPr>
      <w:r>
        <w:rPr>
          <w:rFonts w:hint="default" w:ascii="Calibri" w:hAnsi="Calibri" w:eastAsia="方正仿宋_GBK" w:cs="Calibri"/>
          <w:sz w:val="32"/>
          <w:szCs w:val="32"/>
          <w:highlight w:val="none"/>
        </w:rPr>
        <w:t>②</w:t>
      </w:r>
      <w:r>
        <w:rPr>
          <w:rFonts w:hint="eastAsia" w:ascii="方正仿宋_GBK" w:hAnsi="方正仿宋_GBK" w:eastAsia="方正仿宋_GBK" w:cs="方正仿宋_GBK"/>
          <w:sz w:val="32"/>
          <w:szCs w:val="32"/>
          <w:highlight w:val="none"/>
        </w:rPr>
        <w:t>单层混合结构房屋进行置换，以建筑面积 1:1.2 的比例进行置换 ;两层以上 (含两层) 的房屋第一层以建筑面积按 1:1.1 的比例进行置换，二层以上以建筑面积按 1:1的比例进行置换(具备居住条件):二层以上结构(如红砖铁皮、树脂瓦等) 以建筑面积按1: 0.95的比例进行置换;楼梯间(如红砖铁皮、石棉瓦、树脂瓦) 不作产权置换只作货币补偿。</w:t>
      </w:r>
    </w:p>
    <w:p>
      <w:pPr>
        <w:spacing w:line="540" w:lineRule="exact"/>
        <w:ind w:firstLine="69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③</w:t>
      </w:r>
      <w:r>
        <w:rPr>
          <w:rFonts w:hint="eastAsia" w:ascii="方正仿宋_GBK" w:hAnsi="方正仿宋_GBK" w:eastAsia="方正仿宋_GBK" w:cs="方正仿宋_GBK"/>
          <w:sz w:val="32"/>
          <w:szCs w:val="32"/>
          <w:highlight w:val="none"/>
        </w:rPr>
        <w:t>单层红砖</w:t>
      </w:r>
      <w:r>
        <w:rPr>
          <w:rFonts w:hint="eastAsia" w:ascii="方正仿宋_GBK" w:hAnsi="方正仿宋_GBK" w:eastAsia="方正仿宋_GBK" w:cs="方正仿宋_GBK"/>
          <w:sz w:val="32"/>
          <w:szCs w:val="32"/>
          <w:highlight w:val="none"/>
          <w:lang w:val="en-US" w:eastAsia="zh-CN"/>
        </w:rPr>
        <w:t>瓦</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树脂</w:t>
      </w:r>
      <w:r>
        <w:rPr>
          <w:rFonts w:hint="eastAsia" w:ascii="方正仿宋_GBK" w:hAnsi="方正仿宋_GBK" w:eastAsia="方正仿宋_GBK" w:cs="方正仿宋_GBK"/>
          <w:sz w:val="32"/>
          <w:szCs w:val="32"/>
          <w:highlight w:val="none"/>
        </w:rPr>
        <w:t>瓦等房屋进行置换，以建筑面积 1:1.15 的比例进行置换。</w:t>
      </w:r>
    </w:p>
    <w:p>
      <w:pPr>
        <w:spacing w:line="540" w:lineRule="exact"/>
        <w:ind w:firstLine="69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④</w:t>
      </w:r>
      <w:r>
        <w:rPr>
          <w:rFonts w:hint="eastAsia" w:ascii="方正仿宋_GBK" w:hAnsi="方正仿宋_GBK" w:eastAsia="方正仿宋_GBK" w:cs="方正仿宋_GBK"/>
          <w:sz w:val="32"/>
          <w:szCs w:val="32"/>
          <w:highlight w:val="none"/>
        </w:rPr>
        <w:t>砖瓦房(檐高 2.8 米为基准) 等结构以建筑面积只进行</w:t>
      </w:r>
      <w:r>
        <w:rPr>
          <w:rFonts w:hint="eastAsia" w:ascii="方正仿宋_GBK" w:hAnsi="方正仿宋_GBK" w:eastAsia="方正仿宋_GBK" w:cs="方正仿宋_GBK"/>
          <w:sz w:val="32"/>
          <w:szCs w:val="32"/>
          <w:highlight w:val="none"/>
          <w:lang w:val="en-US" w:eastAsia="zh-CN"/>
        </w:rPr>
        <w:t>一</w:t>
      </w:r>
      <w:r>
        <w:rPr>
          <w:rFonts w:hint="eastAsia" w:ascii="方正仿宋_GBK" w:hAnsi="方正仿宋_GBK" w:eastAsia="方正仿宋_GBK" w:cs="方正仿宋_GBK"/>
          <w:sz w:val="32"/>
          <w:szCs w:val="32"/>
          <w:highlight w:val="none"/>
        </w:rPr>
        <w:t>层置换，超过2.8米层高的，按市场评估只作货币补偿。</w:t>
      </w:r>
    </w:p>
    <w:p>
      <w:pPr>
        <w:spacing w:line="540" w:lineRule="exact"/>
        <w:ind w:firstLine="69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征收房屋中的技术层 (如夹层、阁楼等) 如属于主体建筑物整体结构和布局或者经报建批准，自然层高为3.6米，超过 3.6米层高的，按市场评估只作货币补偿。</w:t>
      </w:r>
    </w:p>
    <w:p>
      <w:pPr>
        <w:spacing w:line="540" w:lineRule="exact"/>
        <w:ind w:firstLine="69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⑤</w:t>
      </w:r>
      <w:r>
        <w:rPr>
          <w:rFonts w:hint="eastAsia" w:ascii="方正仿宋_GBK" w:hAnsi="方正仿宋_GBK" w:eastAsia="方正仿宋_GBK" w:cs="方正仿宋_GBK"/>
          <w:sz w:val="32"/>
          <w:szCs w:val="32"/>
          <w:highlight w:val="none"/>
        </w:rPr>
        <w:t>以上</w:t>
      </w:r>
      <w:r>
        <w:rPr>
          <w:rFonts w:hint="eastAsia" w:ascii="方正仿宋_GBK" w:hAnsi="方正仿宋_GBK" w:eastAsia="方正仿宋_GBK" w:cs="方正仿宋_GBK"/>
          <w:sz w:val="32"/>
          <w:szCs w:val="32"/>
          <w:highlight w:val="none"/>
          <w:lang w:eastAsia="zh-CN"/>
        </w:rPr>
        <w:t>①</w:t>
      </w:r>
      <w:r>
        <w:rPr>
          <w:rFonts w:hint="eastAsia" w:ascii="方正仿宋_GBK" w:hAnsi="方正仿宋_GBK" w:eastAsia="方正仿宋_GBK" w:cs="方正仿宋_GBK"/>
          <w:sz w:val="32"/>
          <w:szCs w:val="32"/>
          <w:highlight w:val="none"/>
        </w:rPr>
        <w:t>至</w:t>
      </w:r>
      <w:r>
        <w:rPr>
          <w:rFonts w:hint="eastAsia" w:ascii="方正仿宋_GBK" w:hAnsi="方正仿宋_GBK" w:eastAsia="方正仿宋_GBK" w:cs="方正仿宋_GBK"/>
          <w:sz w:val="32"/>
          <w:szCs w:val="32"/>
          <w:highlight w:val="none"/>
          <w:lang w:eastAsia="zh-CN"/>
        </w:rPr>
        <w:t>④</w:t>
      </w:r>
      <w:r>
        <w:rPr>
          <w:rFonts w:hint="eastAsia" w:ascii="方正仿宋_GBK" w:hAnsi="方正仿宋_GBK" w:eastAsia="方正仿宋_GBK" w:cs="方正仿宋_GBK"/>
          <w:sz w:val="32"/>
          <w:szCs w:val="32"/>
          <w:highlight w:val="none"/>
        </w:rPr>
        <w:t>项进行产权置换的房屋必须具备居住条件，若不具备居住条件的，按本方案征收标准给予货币补偿。</w:t>
      </w:r>
    </w:p>
    <w:p>
      <w:pPr>
        <w:spacing w:line="540" w:lineRule="exact"/>
        <w:ind w:firstLine="69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⑥</w:t>
      </w:r>
      <w:r>
        <w:rPr>
          <w:rFonts w:hint="eastAsia" w:ascii="方正仿宋_GBK" w:hAnsi="方正仿宋_GBK" w:eastAsia="方正仿宋_GBK" w:cs="方正仿宋_GBK"/>
          <w:sz w:val="32"/>
          <w:szCs w:val="32"/>
          <w:highlight w:val="none"/>
        </w:rPr>
        <w:t>每户建筑占地面积不足40</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的房屋只实行货币补偿</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不作产权置换。实行产权置换后的房屋建筑占地面积不另作补偿，附属设施等实行货币补偿。</w:t>
      </w:r>
    </w:p>
    <w:p>
      <w:pPr>
        <w:spacing w:line="540" w:lineRule="exact"/>
        <w:ind w:firstLine="69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⑦</w:t>
      </w:r>
      <w:r>
        <w:rPr>
          <w:rFonts w:hint="eastAsia" w:ascii="方正仿宋_GBK" w:hAnsi="方正仿宋_GBK" w:eastAsia="方正仿宋_GBK" w:cs="方正仿宋_GBK"/>
          <w:sz w:val="32"/>
          <w:szCs w:val="32"/>
          <w:highlight w:val="none"/>
        </w:rPr>
        <w:t>实行产权置换，按照“面积近似”原则安置。安置房面积与折算后补偿面积按 1:1的比例进行置换，如不能满足“面积近似”户型的要求，每户超面积安置不得超过</w:t>
      </w:r>
      <w:r>
        <w:rPr>
          <w:rFonts w:hint="eastAsia" w:ascii="方正仿宋_GBK" w:hAnsi="方正仿宋_GBK" w:eastAsia="方正仿宋_GBK" w:cs="方正仿宋_GBK"/>
          <w:sz w:val="32"/>
          <w:szCs w:val="32"/>
          <w:highlight w:val="none"/>
          <w:lang w:val="en-US" w:eastAsia="zh-CN"/>
        </w:rPr>
        <w:t>25</w:t>
      </w:r>
      <w:r>
        <w:rPr>
          <w:rFonts w:hint="eastAsia" w:ascii="方正仿宋_GBK" w:hAnsi="方正仿宋_GBK" w:eastAsia="方正仿宋_GBK" w:cs="方正仿宋_GBK"/>
          <w:sz w:val="32"/>
          <w:szCs w:val="32"/>
          <w:highlight w:val="none"/>
        </w:rPr>
        <w:t>平方米，</w:t>
      </w:r>
      <w:r>
        <w:rPr>
          <w:rFonts w:hint="eastAsia" w:ascii="方正仿宋_GBK" w:hAnsi="方正仿宋_GBK" w:eastAsia="方正仿宋_GBK" w:cs="方正仿宋_GBK"/>
          <w:sz w:val="32"/>
          <w:szCs w:val="32"/>
          <w:highlight w:val="none"/>
          <w:lang w:val="en-US" w:eastAsia="zh-CN"/>
        </w:rPr>
        <w:t>25</w:t>
      </w:r>
      <w:r>
        <w:rPr>
          <w:rFonts w:hint="eastAsia" w:ascii="方正仿宋_GBK" w:hAnsi="方正仿宋_GBK" w:eastAsia="方正仿宋_GBK" w:cs="方正仿宋_GBK"/>
          <w:sz w:val="32"/>
          <w:szCs w:val="32"/>
          <w:highlight w:val="none"/>
        </w:rPr>
        <w:t>平方米内以政府安置房采购价进行结算(置换后，剩余面积不足40平方米的，按照政府采购价进行货币补偿)。</w:t>
      </w:r>
    </w:p>
    <w:p>
      <w:pPr>
        <w:spacing w:line="540" w:lineRule="exact"/>
        <w:ind w:firstLine="69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在超面积购买</w:t>
      </w:r>
      <w:r>
        <w:rPr>
          <w:rFonts w:hint="eastAsia" w:ascii="方正仿宋_GBK" w:hAnsi="方正仿宋_GBK" w:eastAsia="方正仿宋_GBK" w:cs="方正仿宋_GBK"/>
          <w:sz w:val="32"/>
          <w:szCs w:val="32"/>
          <w:highlight w:val="none"/>
          <w:lang w:val="en-US" w:eastAsia="zh-CN"/>
        </w:rPr>
        <w:t>25</w:t>
      </w:r>
      <w:r>
        <w:rPr>
          <w:rFonts w:hint="eastAsia" w:ascii="方正仿宋_GBK" w:hAnsi="方正仿宋_GBK" w:eastAsia="方正仿宋_GBK" w:cs="方正仿宋_GBK"/>
          <w:sz w:val="32"/>
          <w:szCs w:val="32"/>
          <w:highlight w:val="none"/>
        </w:rPr>
        <w:t>平方米后，仍不能满足“面积近似”户型的要求，则按安置房所属楼盘选购现场公示该户型市场销售平方单价进行购买。</w:t>
      </w:r>
    </w:p>
    <w:p>
      <w:pPr>
        <w:spacing w:line="540" w:lineRule="exact"/>
        <w:ind w:firstLine="69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安置房面积不足折算后补偿面积的部分，按政府安置房采</w:t>
      </w:r>
      <w:r>
        <w:rPr>
          <w:rFonts w:hint="eastAsia" w:ascii="方正仿宋_GBK" w:hAnsi="方正仿宋_GBK" w:eastAsia="方正仿宋_GBK" w:cs="方正仿宋_GBK"/>
          <w:sz w:val="32"/>
          <w:szCs w:val="32"/>
          <w:highlight w:val="none"/>
          <w:lang w:eastAsia="zh-CN"/>
        </w:rPr>
        <w:t>购</w:t>
      </w:r>
      <w:r>
        <w:rPr>
          <w:rFonts w:hint="eastAsia" w:ascii="方正仿宋_GBK" w:hAnsi="方正仿宋_GBK" w:eastAsia="方正仿宋_GBK" w:cs="方正仿宋_GBK"/>
          <w:sz w:val="32"/>
          <w:szCs w:val="32"/>
          <w:highlight w:val="none"/>
        </w:rPr>
        <w:t>价补给被征收人。</w:t>
      </w:r>
    </w:p>
    <w:p>
      <w:pPr>
        <w:spacing w:line="540" w:lineRule="exact"/>
        <w:ind w:firstLine="69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⑧</w:t>
      </w:r>
      <w:r>
        <w:rPr>
          <w:rFonts w:hint="eastAsia" w:ascii="方正仿宋_GBK" w:hAnsi="方正仿宋_GBK" w:eastAsia="方正仿宋_GBK" w:cs="方正仿宋_GBK"/>
          <w:sz w:val="32"/>
          <w:szCs w:val="32"/>
          <w:highlight w:val="none"/>
        </w:rPr>
        <w:t>安置房选择按先签订协议先选的原则。优先照顾年满60 周岁以上孤寡老人及下肢严重残疾者选择最底层住宅楼房。房屋征收实施单位应将安置房的地点、面积、楼层、过渡期限以及安置方案、择房图表等张榜公布，接受被征收人咨询、监督。</w:t>
      </w:r>
    </w:p>
    <w:p>
      <w:pPr>
        <w:spacing w:line="540" w:lineRule="exact"/>
        <w:ind w:firstLine="69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⑨</w:t>
      </w:r>
      <w:r>
        <w:rPr>
          <w:rFonts w:hint="eastAsia" w:ascii="方正仿宋_GBK" w:hAnsi="方正仿宋_GBK" w:eastAsia="方正仿宋_GBK" w:cs="方正仿宋_GBK"/>
          <w:sz w:val="32"/>
          <w:szCs w:val="32"/>
          <w:highlight w:val="none"/>
        </w:rPr>
        <w:t>安置房分户原则: 根据户口簿登记内容，县政府发布房屋征收决定公告之日止，根据被征收户家庭人员情况</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子、女年满18周岁可作为一个自然户，夫妻不得另行分户。</w:t>
      </w:r>
    </w:p>
    <w:p>
      <w:pPr>
        <w:numPr>
          <w:ilvl w:val="-1"/>
          <w:numId w:val="0"/>
        </w:numPr>
        <w:spacing w:line="540" w:lineRule="exact"/>
        <w:ind w:leftChars="0" w:firstLine="690" w:firstLineChars="200"/>
        <w:jc w:val="left"/>
        <w:rPr>
          <w:rFonts w:hint="eastAsia" w:ascii="方正仿宋_GBK" w:hAnsi="方正仿宋_GBK" w:eastAsia="方正仿宋_GBK" w:cs="方正仿宋_GBK"/>
          <w:sz w:val="32"/>
          <w:szCs w:val="32"/>
          <w:highlight w:val="none"/>
          <w:lang w:eastAsia="zh-CN"/>
        </w:rPr>
      </w:pPr>
      <w:r>
        <w:rPr>
          <w:rFonts w:hint="eastAsia" w:ascii="微软雅黑" w:hAnsi="微软雅黑" w:eastAsia="微软雅黑" w:cs="微软雅黑"/>
          <w:sz w:val="32"/>
          <w:szCs w:val="32"/>
          <w:highlight w:val="none"/>
          <w:lang w:val="en-US" w:eastAsia="zh-CN"/>
        </w:rPr>
        <w:t>⑩</w:t>
      </w:r>
      <w:r>
        <w:rPr>
          <w:rFonts w:hint="eastAsia" w:ascii="方正仿宋_GBK" w:hAnsi="方正仿宋_GBK" w:eastAsia="方正仿宋_GBK" w:cs="方正仿宋_GBK"/>
          <w:sz w:val="32"/>
          <w:szCs w:val="32"/>
          <w:highlight w:val="none"/>
        </w:rPr>
        <w:t>安置房办证、物业管理、维修基金、税费等费用由被征收人负责，房屋征收单位协助办理好不动产权证</w:t>
      </w:r>
      <w:r>
        <w:rPr>
          <w:rFonts w:hint="eastAsia" w:ascii="方正仿宋_GBK" w:hAnsi="方正仿宋_GBK" w:eastAsia="方正仿宋_GBK" w:cs="方正仿宋_GBK"/>
          <w:sz w:val="32"/>
          <w:szCs w:val="32"/>
          <w:highlight w:val="none"/>
          <w:lang w:eastAsia="zh-CN"/>
        </w:rPr>
        <w:t>。</w:t>
      </w:r>
    </w:p>
    <w:p>
      <w:pPr>
        <w:spacing w:line="540" w:lineRule="exact"/>
        <w:ind w:firstLine="69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(2)安置房源</w:t>
      </w:r>
    </w:p>
    <w:p>
      <w:pPr>
        <w:spacing w:line="540" w:lineRule="exact"/>
        <w:ind w:firstLine="69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房源安置点：结合项目实际选购就近价值相当的房源进行安置，具体位置以协议约定为准。</w:t>
      </w:r>
    </w:p>
    <w:p>
      <w:pPr>
        <w:spacing w:line="540" w:lineRule="exact"/>
        <w:ind w:firstLine="690" w:firstLineChars="200"/>
      </w:pPr>
      <w:r>
        <w:rPr>
          <w:rFonts w:hint="eastAsia" w:ascii="方正仿宋_GBK" w:hAnsi="方正仿宋_GBK" w:eastAsia="方正仿宋_GBK" w:cs="方正仿宋_GBK"/>
          <w:b/>
          <w:bCs/>
          <w:sz w:val="32"/>
          <w:szCs w:val="32"/>
          <w:highlight w:val="none"/>
          <w:lang w:val="en-US" w:eastAsia="zh-CN"/>
        </w:rPr>
        <w:t>产权有争议的房屋处理办法:</w:t>
      </w:r>
      <w:r>
        <w:rPr>
          <w:rFonts w:hint="eastAsia" w:ascii="方正仿宋_GBK" w:hAnsi="方正仿宋_GBK" w:eastAsia="方正仿宋_GBK" w:cs="方正仿宋_GBK"/>
          <w:sz w:val="32"/>
          <w:szCs w:val="32"/>
          <w:highlight w:val="none"/>
          <w:lang w:val="en-US" w:eastAsia="zh-CN"/>
        </w:rPr>
        <w:t xml:space="preserve"> 按市场评估算清补偿款后，争议部分协商解决，协商无果时，由司法机关依法裁决。</w:t>
      </w:r>
    </w:p>
    <w:p>
      <w:pPr>
        <w:spacing w:line="540" w:lineRule="exact"/>
        <w:ind w:firstLine="69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highlight w:val="none"/>
        </w:rPr>
        <w:t>（</w:t>
      </w:r>
      <w:r>
        <w:rPr>
          <w:rFonts w:hint="eastAsia" w:ascii="方正楷体_GBK" w:hAnsi="方正楷体_GBK" w:eastAsia="方正楷体_GBK" w:cs="方正楷体_GBK"/>
          <w:sz w:val="32"/>
          <w:szCs w:val="32"/>
          <w:highlight w:val="none"/>
          <w:lang w:val="en-US" w:eastAsia="zh-CN"/>
        </w:rPr>
        <w:t>三</w:t>
      </w:r>
      <w:r>
        <w:rPr>
          <w:rFonts w:hint="eastAsia" w:ascii="方正楷体_GBK" w:hAnsi="方正楷体_GBK" w:eastAsia="方正楷体_GBK" w:cs="方正楷体_GBK"/>
          <w:sz w:val="32"/>
          <w:szCs w:val="32"/>
          <w:highlight w:val="none"/>
        </w:rPr>
        <w:t>）其他补偿、补</w:t>
      </w:r>
      <w:r>
        <w:rPr>
          <w:rFonts w:hint="eastAsia" w:ascii="方正楷体_GBK" w:hAnsi="方正楷体_GBK" w:eastAsia="方正楷体_GBK" w:cs="方正楷体_GBK"/>
          <w:sz w:val="32"/>
          <w:szCs w:val="32"/>
        </w:rPr>
        <w:t>助费用</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临时建（构）筑物及地上附着物。以不重复补偿为原则，房屋以外的构筑（附着）物已通过本方案的有关规定获得补偿的，不再补偿；未获补偿的，按照重置价评估给予货币补偿。</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室内装修装饰。被征收房屋室内装修装饰费补偿，按照评估确定的重置成新价给予补偿。若装修档次不符，按照评估公司现场评估为准。</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搬迁费。因征收造成搬迁的，以现场查看为准（附相关照片为佐证材料），给予被征收人按建筑面积一次性支付每平方米40元的搬迁费。</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过渡期房租费。因征收房屋需临时租房的，给予被征收人一次性支付12个月每人每月200元的过渡期房租费（以提供常住人口户口簿为准）。</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停产、停业补偿费。对因征收房屋造成被征收人停产停业损失的补偿，由征收当事人根据房屋被征收前的效益、停产停业期限等因素协商确定，协商不成的，可以委托房地产价格评估机构评估确定。对评估结果有异议的，可以按照《国有土地上房屋征收评估办法》</w:t>
      </w:r>
      <w:r>
        <w:rPr>
          <w:rFonts w:hint="eastAsia" w:ascii="方正仿宋_GBK" w:hAnsi="方正仿宋_GBK" w:eastAsia="方正仿宋_GBK" w:cs="方正仿宋_GBK"/>
          <w:sz w:val="32"/>
          <w:szCs w:val="32"/>
          <w:highlight w:val="none"/>
        </w:rPr>
        <w:t>（建房〔2011〕77号）</w:t>
      </w:r>
      <w:r>
        <w:rPr>
          <w:rFonts w:hint="eastAsia" w:ascii="方正仿宋_GBK" w:hAnsi="方正仿宋_GBK" w:eastAsia="方正仿宋_GBK" w:cs="方正仿宋_GBK"/>
          <w:sz w:val="32"/>
          <w:szCs w:val="32"/>
        </w:rPr>
        <w:t>相关规定申请复核、鉴定。</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（1）房屋被征收前的效益。</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①被征收人能提供税务部门出具的税后利润凭证的，效益</w:t>
      </w:r>
    </w:p>
    <w:p>
      <w:pPr>
        <w:spacing w:line="54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以房屋征收决定作出前1年内实际月平均税后利润为准。</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②被征收人不能提供税务部门出具的税后利润凭证等证明</w:t>
      </w:r>
    </w:p>
    <w:p>
      <w:pPr>
        <w:spacing w:line="54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含完税凭证不能反映停产停业损失）或者无法核算税后利润的，效益按上年度本地区同行业平均税后利润额或者同类房屋市场租金计算。对于100m²内的小型商铺，根据实际经营情况按建筑物内营业面积一次性以200元/m²-600元/m²给予补偿；对于农家乐、工厂、堆场等，根据实际经营情况按营业面积一次性以50元/m²-200元/m²给予补偿（农家乐及工厂按建筑物面积计）。</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（2）养殖场及其它经营性用房按市场建筑成本实行货币补偿，造成停业停产损失的，根据实际养殖（经营）情况按建筑面积一次性以100元/m²-300元/m²元给予补偿。</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（3）给予停产停业损失补偿应当同时符合以下条件:</w:t>
      </w:r>
    </w:p>
    <w:p>
      <w:pPr>
        <w:spacing w:line="540" w:lineRule="exact"/>
        <w:ind w:firstLine="690" w:firstLineChars="200"/>
        <w:jc w:val="distribut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①经县自然资源局、县住建局等部门认定为合法的建筑（认定为违法建筑和超过批准期限的临时建筑不予停产停业损失补</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640" w:hanging="690" w:hangingChars="200"/>
        <w:textAlignment w:val="baseline"/>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偿）；</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②具有合法有效的工商营业执照、税务登记证以及其</w:t>
      </w:r>
      <w:r>
        <w:rPr>
          <w:rFonts w:hint="eastAsia" w:ascii="方正仿宋_GBK" w:hAnsi="方正仿宋_GBK" w:eastAsia="方正仿宋_GBK" w:cs="方正仿宋_GBK"/>
          <w:sz w:val="32"/>
          <w:szCs w:val="32"/>
          <w:lang w:val="en-US" w:eastAsia="zh-CN"/>
        </w:rPr>
        <w:t>他</w:t>
      </w:r>
      <w:r>
        <w:rPr>
          <w:rFonts w:hint="eastAsia" w:ascii="方正仿宋_GBK" w:hAnsi="方正仿宋_GBK" w:eastAsia="方正仿宋_GBK" w:cs="方正仿宋_GBK"/>
          <w:sz w:val="32"/>
          <w:szCs w:val="32"/>
        </w:rPr>
        <w:t>有关许可证件；</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③作出房屋征收决定前实际正在经营，因征收房屋造成了停产停业损失。</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 4 \* GB3 \* MERGEFORMAT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④</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停产停业期限。停产停业期限的确定，选择货币补偿的按6个月税后利润的70%计算，一次性支付。</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 无合法产权证明且经界定组认定为“家庭住宅”之外的房屋，在征收补偿方案确定的签约期限内无法达成补偿协议的，由县自然资源局、县住建局等职能部门以及仙塘镇政府按照《中华人民共和国土地管理法》《中华人民共和国城乡规划法》等相关法律法规依法处理。</w:t>
      </w:r>
    </w:p>
    <w:p>
      <w:pPr>
        <w:spacing w:line="540" w:lineRule="exact"/>
        <w:ind w:firstLine="690" w:firstLineChars="20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rPr>
        <w:t>7. 房屋基础按建筑成本价补偿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highlight w:val="none"/>
          <w:lang w:val="en-US" w:eastAsia="zh-CN"/>
        </w:rPr>
        <w:t>地下室等房屋根据实际情况以评估为准</w:t>
      </w:r>
      <w:r>
        <w:rPr>
          <w:rFonts w:hint="eastAsia" w:ascii="方正仿宋_GBK" w:hAnsi="方正仿宋_GBK" w:eastAsia="方正仿宋_GBK" w:cs="方正仿宋_GBK"/>
          <w:sz w:val="32"/>
          <w:szCs w:val="32"/>
          <w:highlight w:val="none"/>
        </w:rPr>
        <w:t>。</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 被征收房屋的建筑面积和用途，以房屋现状为准。</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 被征收前，若</w:t>
      </w:r>
      <w:r>
        <w:rPr>
          <w:rFonts w:hint="eastAsia" w:ascii="方正仿宋_GBK" w:hAnsi="方正仿宋_GBK" w:eastAsia="方正仿宋_GBK" w:cs="方正仿宋_GBK"/>
          <w:sz w:val="32"/>
          <w:szCs w:val="32"/>
          <w:lang w:val="en-US" w:eastAsia="zh-CN"/>
        </w:rPr>
        <w:t>设</w:t>
      </w:r>
      <w:r>
        <w:rPr>
          <w:rFonts w:hint="eastAsia" w:ascii="方正仿宋_GBK" w:hAnsi="方正仿宋_GBK" w:eastAsia="方正仿宋_GBK" w:cs="方正仿宋_GBK"/>
          <w:sz w:val="32"/>
          <w:szCs w:val="32"/>
        </w:rPr>
        <w:t>有抵押权、被查封及扣押的房屋，按照国家有关的法律、法规执行。</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 本方案未列明的事项，按项目房屋征收工作小组和市场评估会议进行讨论决定。</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 征收单位接受被征收人咨询、监督。</w:t>
      </w:r>
    </w:p>
    <w:p>
      <w:pPr>
        <w:spacing w:line="540" w:lineRule="exact"/>
        <w:ind w:firstLine="69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四</w:t>
      </w:r>
      <w:r>
        <w:rPr>
          <w:rFonts w:hint="eastAsia" w:ascii="方正楷体_GBK" w:hAnsi="方正楷体_GBK" w:eastAsia="方正楷体_GBK" w:cs="方正楷体_GBK"/>
          <w:sz w:val="32"/>
          <w:szCs w:val="32"/>
        </w:rPr>
        <w:t>）补助和奖励</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在规定期限内签订协议，给予每户一次性按房屋建筑第一至四层面积给予100元/m²-</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00元/m²奖励（附属设施除外）。被征收户在征收工作组正式通知之日起（附现场通知照片）20天内签订协议按</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00元/m²奖励；在征收工作组正式通知之日（附现场通知照片）21天后至30天内签订协议按200元/m²奖励；在征收工作组正式通知之日（附现场通知照片）31天后至40天内签订协议按100元/m²奖励；在征收工作组正式通知之日（附现场通知照片）41天后签订协议的不予奖励。</w:t>
      </w:r>
    </w:p>
    <w:p>
      <w:pPr>
        <w:spacing w:line="540" w:lineRule="exact"/>
        <w:ind w:firstLine="69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年满80-89岁（以身份证为准）的老人，一次性每人给予2万元补助；90岁（以身份证为准）以上老人，一次性每人给予3万元补助；残疾人（以持有残疾人证为准），一次性每人给予2万元补助。</w:t>
      </w:r>
    </w:p>
    <w:p>
      <w:pPr>
        <w:spacing w:line="360" w:lineRule="auto"/>
        <w:ind w:firstLine="690" w:firstLineChars="200"/>
        <w:jc w:val="both"/>
        <w:rPr>
          <w:rFonts w:ascii="宋体" w:hAnsi="宋体" w:eastAsia="宋体" w:cs="宋体"/>
          <w:b/>
          <w:bCs/>
          <w:spacing w:val="17"/>
          <w:sz w:val="28"/>
          <w:szCs w:val="28"/>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 以上事项，未在规定期限内签订协议，不给予补助和奖励。</w:t>
      </w:r>
    </w:p>
    <w:p>
      <w:pPr>
        <w:spacing w:line="360" w:lineRule="auto"/>
        <w:jc w:val="both"/>
        <w:rPr>
          <w:rFonts w:hint="eastAsia" w:ascii="宋体" w:hAnsi="宋体" w:eastAsia="宋体" w:cs="宋体"/>
          <w:b/>
          <w:bCs/>
          <w:spacing w:val="17"/>
          <w:sz w:val="28"/>
          <w:szCs w:val="28"/>
        </w:rPr>
      </w:pPr>
    </w:p>
    <w:p>
      <w:pPr>
        <w:spacing w:line="360" w:lineRule="auto"/>
        <w:jc w:val="both"/>
        <w:rPr>
          <w:rFonts w:hint="eastAsia" w:ascii="宋体" w:hAnsi="宋体" w:eastAsia="宋体" w:cs="宋体"/>
          <w:b/>
          <w:bCs/>
          <w:spacing w:val="17"/>
          <w:sz w:val="28"/>
          <w:szCs w:val="28"/>
        </w:rPr>
      </w:pPr>
    </w:p>
    <w:p>
      <w:pPr>
        <w:spacing w:line="360" w:lineRule="auto"/>
        <w:jc w:val="both"/>
        <w:rPr>
          <w:rFonts w:hint="eastAsia" w:ascii="宋体" w:hAnsi="宋体" w:eastAsia="宋体" w:cs="宋体"/>
          <w:b/>
          <w:bCs/>
          <w:spacing w:val="17"/>
          <w:sz w:val="28"/>
          <w:szCs w:val="28"/>
        </w:rPr>
      </w:pPr>
    </w:p>
    <w:p>
      <w:pPr>
        <w:spacing w:line="360" w:lineRule="auto"/>
        <w:jc w:val="both"/>
        <w:rPr>
          <w:rFonts w:hint="eastAsia" w:ascii="宋体" w:hAnsi="宋体" w:eastAsia="宋体" w:cs="宋体"/>
          <w:b/>
          <w:bCs/>
          <w:spacing w:val="17"/>
          <w:sz w:val="28"/>
          <w:szCs w:val="28"/>
        </w:rPr>
      </w:pPr>
    </w:p>
    <w:p>
      <w:pPr>
        <w:spacing w:line="360" w:lineRule="auto"/>
        <w:jc w:val="both"/>
        <w:rPr>
          <w:rFonts w:hint="eastAsia" w:ascii="宋体" w:hAnsi="宋体" w:eastAsia="宋体" w:cs="宋体"/>
          <w:b/>
          <w:bCs/>
          <w:spacing w:val="17"/>
          <w:sz w:val="28"/>
          <w:szCs w:val="28"/>
        </w:rPr>
      </w:pPr>
    </w:p>
    <w:p>
      <w:pPr>
        <w:spacing w:line="360" w:lineRule="auto"/>
        <w:jc w:val="both"/>
        <w:rPr>
          <w:rFonts w:hint="eastAsia" w:ascii="宋体" w:hAnsi="宋体" w:eastAsia="宋体" w:cs="宋体"/>
          <w:b/>
          <w:bCs/>
          <w:spacing w:val="17"/>
          <w:sz w:val="28"/>
          <w:szCs w:val="28"/>
        </w:rPr>
      </w:pPr>
    </w:p>
    <w:p>
      <w:pPr>
        <w:spacing w:line="360" w:lineRule="auto"/>
        <w:jc w:val="both"/>
        <w:rPr>
          <w:rFonts w:hint="eastAsia" w:ascii="宋体" w:hAnsi="宋体" w:eastAsia="宋体" w:cs="宋体"/>
          <w:b/>
          <w:bCs/>
          <w:spacing w:val="17"/>
          <w:sz w:val="28"/>
          <w:szCs w:val="28"/>
        </w:rPr>
      </w:pPr>
    </w:p>
    <w:p>
      <w:pPr>
        <w:pStyle w:val="2"/>
        <w:rPr>
          <w:rFonts w:hint="eastAsia" w:ascii="宋体" w:hAnsi="宋体" w:eastAsia="宋体" w:cs="宋体"/>
          <w:b/>
          <w:bCs/>
          <w:spacing w:val="17"/>
          <w:sz w:val="28"/>
          <w:szCs w:val="28"/>
        </w:rPr>
      </w:pPr>
    </w:p>
    <w:p>
      <w:pPr>
        <w:rPr>
          <w:rFonts w:hint="eastAsia" w:ascii="宋体" w:hAnsi="宋体" w:eastAsia="宋体" w:cs="宋体"/>
          <w:b/>
          <w:bCs/>
          <w:spacing w:val="17"/>
          <w:sz w:val="28"/>
          <w:szCs w:val="28"/>
        </w:rPr>
      </w:pPr>
    </w:p>
    <w:p>
      <w:pPr>
        <w:spacing w:line="360" w:lineRule="auto"/>
        <w:jc w:val="left"/>
        <w:rPr>
          <w:rFonts w:hint="eastAsia" w:ascii="宋体" w:hAnsi="宋体" w:eastAsia="宋体" w:cs="宋体"/>
          <w:spacing w:val="17"/>
          <w:sz w:val="24"/>
        </w:rPr>
      </w:pPr>
    </w:p>
    <w:p>
      <w:pPr>
        <w:spacing w:line="360" w:lineRule="auto"/>
        <w:jc w:val="left"/>
        <w:rPr>
          <w:rFonts w:hint="eastAsia" w:ascii="宋体" w:hAnsi="宋体" w:eastAsia="宋体" w:cs="宋体"/>
          <w:spacing w:val="17"/>
          <w:sz w:val="24"/>
        </w:rPr>
      </w:pPr>
    </w:p>
    <w:p>
      <w:pPr>
        <w:spacing w:line="360" w:lineRule="auto"/>
        <w:jc w:val="left"/>
        <w:rPr>
          <w:rFonts w:hint="eastAsia" w:ascii="仿宋" w:hAnsi="仿宋" w:eastAsia="仿宋" w:cs="仿宋"/>
          <w:spacing w:val="17"/>
          <w:sz w:val="24"/>
        </w:rPr>
      </w:pPr>
    </w:p>
    <w:p>
      <w:pPr>
        <w:spacing w:line="360" w:lineRule="auto"/>
        <w:jc w:val="left"/>
        <w:rPr>
          <w:rFonts w:hint="eastAsia" w:ascii="仿宋" w:hAnsi="仿宋" w:eastAsia="仿宋" w:cs="仿宋"/>
          <w:spacing w:val="17"/>
          <w:sz w:val="24"/>
        </w:rPr>
      </w:pPr>
    </w:p>
    <w:p>
      <w:pPr>
        <w:spacing w:line="360" w:lineRule="auto"/>
        <w:jc w:val="left"/>
        <w:rPr>
          <w:rFonts w:hint="eastAsia" w:ascii="仿宋" w:hAnsi="仿宋" w:eastAsia="仿宋" w:cs="仿宋"/>
          <w:b/>
          <w:bCs/>
          <w:sz w:val="24"/>
          <w:shd w:val="clear" w:color="auto" w:fill="FFFFFF"/>
        </w:rPr>
      </w:pPr>
      <w:r>
        <w:rPr>
          <w:rFonts w:hint="eastAsia" w:ascii="仿宋" w:hAnsi="仿宋" w:eastAsia="仿宋" w:cs="仿宋"/>
          <w:spacing w:val="17"/>
          <w:sz w:val="24"/>
        </w:rPr>
        <w:t>附件：</w:t>
      </w:r>
      <w:r>
        <w:rPr>
          <w:rFonts w:hint="eastAsia" w:ascii="仿宋" w:hAnsi="仿宋" w:eastAsia="仿宋" w:cs="仿宋"/>
          <w:spacing w:val="17"/>
          <w:sz w:val="24"/>
          <w:lang w:eastAsia="zh-CN"/>
        </w:rPr>
        <w:t>学府大桥</w:t>
      </w:r>
      <w:r>
        <w:rPr>
          <w:rFonts w:hint="eastAsia" w:ascii="仿宋" w:hAnsi="仿宋" w:eastAsia="仿宋" w:cs="仿宋"/>
          <w:spacing w:val="17"/>
          <w:sz w:val="24"/>
        </w:rPr>
        <w:t>项目（东源段）房屋及地上附着物征收补偿参考标准表。</w:t>
      </w:r>
    </w:p>
    <w:p>
      <w:pPr>
        <w:spacing w:line="520" w:lineRule="exact"/>
        <w:jc w:val="center"/>
        <w:rPr>
          <w:rFonts w:hint="eastAsia"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lang w:eastAsia="zh-CN"/>
        </w:rPr>
        <w:t>学府大桥</w:t>
      </w:r>
      <w:r>
        <w:rPr>
          <w:rFonts w:hint="eastAsia" w:ascii="仿宋" w:hAnsi="仿宋" w:eastAsia="仿宋" w:cs="仿宋"/>
          <w:b/>
          <w:bCs/>
          <w:sz w:val="32"/>
          <w:szCs w:val="32"/>
          <w:shd w:val="clear" w:color="auto" w:fill="FFFFFF"/>
        </w:rPr>
        <w:t>项目（东源段）房屋及地上附着物征收补偿参考标准</w:t>
      </w:r>
    </w:p>
    <w:p>
      <w:pPr>
        <w:spacing w:line="520" w:lineRule="exact"/>
        <w:jc w:val="center"/>
        <w:rPr>
          <w:rFonts w:hint="eastAsia" w:ascii="仿宋" w:hAnsi="仿宋" w:eastAsia="仿宋" w:cs="仿宋"/>
          <w:b/>
          <w:bCs/>
          <w:sz w:val="32"/>
          <w:szCs w:val="32"/>
          <w:shd w:val="clear" w:color="auto" w:fill="FFFFFF"/>
          <w:lang w:val="zh-CN"/>
        </w:rPr>
      </w:pPr>
    </w:p>
    <w:p>
      <w:pPr>
        <w:numPr>
          <w:ilvl w:val="0"/>
          <w:numId w:val="3"/>
        </w:numPr>
        <w:spacing w:line="360" w:lineRule="auto"/>
        <w:rPr>
          <w:rFonts w:hint="eastAsia" w:ascii="仿宋" w:hAnsi="仿宋" w:eastAsia="仿宋" w:cs="仿宋"/>
          <w:b/>
          <w:bCs/>
          <w:kern w:val="0"/>
          <w:sz w:val="24"/>
          <w:szCs w:val="24"/>
        </w:rPr>
      </w:pPr>
      <w:r>
        <w:rPr>
          <w:rFonts w:hint="eastAsia" w:ascii="仿宋" w:hAnsi="仿宋" w:eastAsia="仿宋" w:cs="仿宋"/>
          <w:b/>
          <w:bCs/>
          <w:kern w:val="0"/>
          <w:sz w:val="24"/>
          <w:szCs w:val="24"/>
          <w:lang w:eastAsia="zh-CN"/>
        </w:rPr>
        <w:t>货币购置</w:t>
      </w:r>
      <w:r>
        <w:rPr>
          <w:rFonts w:hint="eastAsia" w:ascii="仿宋" w:hAnsi="仿宋" w:eastAsia="仿宋" w:cs="仿宋"/>
          <w:b/>
          <w:bCs/>
          <w:kern w:val="0"/>
          <w:sz w:val="24"/>
          <w:szCs w:val="24"/>
        </w:rPr>
        <w:t>安置房屋产权置换价值</w:t>
      </w:r>
      <w:r>
        <w:rPr>
          <w:rFonts w:hint="eastAsia" w:ascii="仿宋" w:hAnsi="仿宋" w:eastAsia="仿宋" w:cs="仿宋"/>
          <w:b/>
          <w:bCs/>
          <w:kern w:val="0"/>
          <w:sz w:val="24"/>
          <w:szCs w:val="24"/>
          <w:lang w:val="en-US" w:eastAsia="zh-CN"/>
        </w:rPr>
        <w:t>参考</w:t>
      </w:r>
    </w:p>
    <w:tbl>
      <w:tblPr>
        <w:tblStyle w:val="9"/>
        <w:tblW w:w="9444" w:type="dxa"/>
        <w:jc w:val="center"/>
        <w:tblLayout w:type="fixed"/>
        <w:tblCellMar>
          <w:top w:w="0" w:type="dxa"/>
          <w:left w:w="108" w:type="dxa"/>
          <w:bottom w:w="0" w:type="dxa"/>
          <w:right w:w="108" w:type="dxa"/>
        </w:tblCellMar>
      </w:tblPr>
      <w:tblGrid>
        <w:gridCol w:w="2079"/>
        <w:gridCol w:w="810"/>
        <w:gridCol w:w="1558"/>
        <w:gridCol w:w="827"/>
        <w:gridCol w:w="1348"/>
        <w:gridCol w:w="990"/>
        <w:gridCol w:w="1832"/>
      </w:tblGrid>
      <w:tr>
        <w:tblPrEx>
          <w:tblCellMar>
            <w:top w:w="0" w:type="dxa"/>
            <w:left w:w="108" w:type="dxa"/>
            <w:bottom w:w="0" w:type="dxa"/>
            <w:right w:w="108" w:type="dxa"/>
          </w:tblCellMar>
        </w:tblPrEx>
        <w:trPr>
          <w:trHeight w:val="743" w:hRule="atLeast"/>
          <w:jc w:val="center"/>
        </w:trPr>
        <w:tc>
          <w:tcPr>
            <w:tcW w:w="207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项目名称</w:t>
            </w:r>
          </w:p>
        </w:tc>
        <w:tc>
          <w:tcPr>
            <w:tcW w:w="81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用途</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价值类型</w:t>
            </w:r>
          </w:p>
        </w:tc>
        <w:tc>
          <w:tcPr>
            <w:tcW w:w="8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单位</w:t>
            </w:r>
          </w:p>
        </w:tc>
        <w:tc>
          <w:tcPr>
            <w:tcW w:w="1348"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单价（元）</w:t>
            </w:r>
          </w:p>
        </w:tc>
        <w:tc>
          <w:tcPr>
            <w:tcW w:w="99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rPr>
              <w:t>备注</w:t>
            </w:r>
            <w:r>
              <w:rPr>
                <w:rFonts w:hint="eastAsia" w:ascii="仿宋" w:hAnsi="仿宋" w:eastAsia="仿宋" w:cs="仿宋"/>
                <w:b/>
                <w:bCs/>
                <w:color w:val="000000"/>
                <w:kern w:val="0"/>
                <w:sz w:val="24"/>
                <w:szCs w:val="24"/>
                <w:lang w:val="en-US" w:eastAsia="zh-CN"/>
              </w:rPr>
              <w:t>1</w:t>
            </w:r>
          </w:p>
        </w:tc>
        <w:tc>
          <w:tcPr>
            <w:tcW w:w="1832"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rPr>
              <w:t>备注</w:t>
            </w:r>
            <w:r>
              <w:rPr>
                <w:rFonts w:hint="eastAsia" w:ascii="仿宋" w:hAnsi="仿宋" w:eastAsia="仿宋" w:cs="仿宋"/>
                <w:b/>
                <w:bCs/>
                <w:color w:val="000000"/>
                <w:kern w:val="0"/>
                <w:sz w:val="24"/>
                <w:szCs w:val="24"/>
                <w:lang w:val="en-US" w:eastAsia="zh-CN"/>
              </w:rPr>
              <w:t>2</w:t>
            </w:r>
          </w:p>
        </w:tc>
      </w:tr>
      <w:tr>
        <w:tblPrEx>
          <w:tblCellMar>
            <w:top w:w="0" w:type="dxa"/>
            <w:left w:w="108" w:type="dxa"/>
            <w:bottom w:w="0" w:type="dxa"/>
            <w:right w:w="108" w:type="dxa"/>
          </w:tblCellMar>
        </w:tblPrEx>
        <w:trPr>
          <w:trHeight w:val="1296" w:hRule="atLeast"/>
          <w:jc w:val="center"/>
        </w:trPr>
        <w:tc>
          <w:tcPr>
            <w:tcW w:w="2079" w:type="dxa"/>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货币购置商品房</w:t>
            </w:r>
          </w:p>
        </w:tc>
        <w:tc>
          <w:tcPr>
            <w:tcW w:w="810" w:type="dxa"/>
            <w:tcBorders>
              <w:left w:val="nil"/>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住宅</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市场预估</w:t>
            </w:r>
          </w:p>
          <w:p>
            <w:pPr>
              <w:jc w:val="center"/>
              <w:rPr>
                <w:rFonts w:hint="eastAsia" w:ascii="仿宋" w:hAnsi="仿宋" w:eastAsia="仿宋" w:cs="仿宋"/>
                <w:sz w:val="24"/>
                <w:szCs w:val="24"/>
              </w:rPr>
            </w:pPr>
            <w:r>
              <w:rPr>
                <w:rFonts w:hint="eastAsia" w:ascii="仿宋" w:hAnsi="仿宋" w:eastAsia="仿宋" w:cs="仿宋"/>
                <w:sz w:val="24"/>
                <w:szCs w:val="24"/>
              </w:rPr>
              <w:t>价值</w:t>
            </w:r>
          </w:p>
        </w:tc>
        <w:tc>
          <w:tcPr>
            <w:tcW w:w="8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sz w:val="24"/>
                <w:szCs w:val="24"/>
                <w:lang w:val="zh-CN"/>
              </w:rPr>
            </w:pPr>
            <w:r>
              <w:rPr>
                <w:rFonts w:hint="eastAsia" w:ascii="仿宋" w:hAnsi="仿宋" w:eastAsia="仿宋" w:cs="仿宋"/>
                <w:sz w:val="24"/>
                <w:szCs w:val="24"/>
                <w:lang w:val="zh-CN"/>
              </w:rPr>
              <w:t>㎡</w:t>
            </w:r>
          </w:p>
        </w:tc>
        <w:tc>
          <w:tcPr>
            <w:tcW w:w="13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7</w:t>
            </w:r>
            <w:r>
              <w:rPr>
                <w:rFonts w:hint="eastAsia" w:ascii="仿宋" w:hAnsi="仿宋" w:eastAsia="仿宋" w:cs="仿宋"/>
                <w:sz w:val="24"/>
                <w:szCs w:val="24"/>
              </w:rPr>
              <w:t>00</w:t>
            </w:r>
          </w:p>
        </w:tc>
        <w:tc>
          <w:tcPr>
            <w:tcW w:w="99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毛坯</w:t>
            </w:r>
          </w:p>
        </w:tc>
        <w:tc>
          <w:tcPr>
            <w:tcW w:w="183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val="0"/>
                <w:color w:val="auto"/>
                <w:sz w:val="24"/>
                <w:szCs w:val="24"/>
              </w:rPr>
            </w:pPr>
            <w:r>
              <w:rPr>
                <w:rFonts w:hint="eastAsia" w:ascii="仿宋" w:hAnsi="仿宋" w:eastAsia="仿宋" w:cs="仿宋"/>
                <w:b w:val="0"/>
                <w:color w:val="auto"/>
                <w:sz w:val="24"/>
                <w:szCs w:val="24"/>
              </w:rPr>
              <w:t>安置房价值以政府采购楼盘单价为准</w:t>
            </w:r>
          </w:p>
        </w:tc>
      </w:tr>
    </w:tbl>
    <w:p>
      <w:pPr>
        <w:tabs>
          <w:tab w:val="left" w:pos="180"/>
          <w:tab w:val="left" w:pos="360"/>
          <w:tab w:val="left" w:pos="9000"/>
        </w:tabs>
        <w:autoSpaceDE w:val="0"/>
        <w:autoSpaceDN w:val="0"/>
        <w:adjustRightInd w:val="0"/>
        <w:spacing w:line="360" w:lineRule="auto"/>
        <w:ind w:firstLine="530" w:firstLineChars="200"/>
        <w:rPr>
          <w:rFonts w:hint="eastAsia" w:ascii="仿宋" w:hAnsi="仿宋" w:eastAsia="仿宋" w:cs="仿宋"/>
          <w:sz w:val="24"/>
          <w:szCs w:val="24"/>
        </w:rPr>
      </w:pPr>
      <w:r>
        <w:rPr>
          <w:rFonts w:hint="eastAsia" w:ascii="仿宋" w:hAnsi="仿宋" w:eastAsia="仿宋" w:cs="仿宋"/>
          <w:sz w:val="24"/>
          <w:szCs w:val="24"/>
        </w:rPr>
        <w:t>备注：上述预估值反映与安置小区区位相同、规模及配套等类似的市场商品房成本价值或市场价值的平均水平，仅为委托方提供置换商品房价值参考。</w:t>
      </w:r>
    </w:p>
    <w:p>
      <w:pPr>
        <w:widowControl w:val="0"/>
        <w:numPr>
          <w:ilvl w:val="255"/>
          <w:numId w:val="0"/>
        </w:numPr>
        <w:spacing w:line="360" w:lineRule="auto"/>
        <w:rPr>
          <w:rFonts w:hint="eastAsia" w:ascii="仿宋" w:hAnsi="仿宋" w:eastAsia="仿宋" w:cs="仿宋"/>
          <w:b/>
          <w:bCs/>
          <w:color w:val="auto"/>
          <w:sz w:val="24"/>
        </w:rPr>
      </w:pPr>
    </w:p>
    <w:p>
      <w:pPr>
        <w:widowControl w:val="0"/>
        <w:numPr>
          <w:ilvl w:val="255"/>
          <w:numId w:val="0"/>
        </w:numPr>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二、其</w:t>
      </w:r>
      <w:r>
        <w:rPr>
          <w:rFonts w:hint="eastAsia" w:ascii="仿宋" w:hAnsi="仿宋" w:eastAsia="仿宋" w:cs="仿宋"/>
          <w:b/>
          <w:bCs/>
          <w:color w:val="auto"/>
          <w:sz w:val="24"/>
          <w:lang w:val="en-US" w:eastAsia="zh-CN"/>
        </w:rPr>
        <w:t>他</w:t>
      </w:r>
      <w:r>
        <w:rPr>
          <w:rFonts w:hint="eastAsia" w:ascii="仿宋" w:hAnsi="仿宋" w:eastAsia="仿宋" w:cs="仿宋"/>
          <w:b/>
          <w:bCs/>
          <w:color w:val="auto"/>
          <w:sz w:val="24"/>
        </w:rPr>
        <w:t>建筑物</w:t>
      </w:r>
    </w:p>
    <w:p>
      <w:pPr>
        <w:widowControl w:val="0"/>
        <w:spacing w:after="156" w:line="360" w:lineRule="auto"/>
        <w:jc w:val="center"/>
        <w:rPr>
          <w:rFonts w:hint="eastAsia" w:ascii="仿宋" w:hAnsi="仿宋" w:eastAsia="仿宋" w:cs="仿宋"/>
          <w:b/>
          <w:bCs/>
          <w:color w:val="auto"/>
          <w:sz w:val="24"/>
        </w:rPr>
      </w:pPr>
      <w:r>
        <w:rPr>
          <w:rFonts w:hint="eastAsia" w:ascii="仿宋" w:hAnsi="仿宋" w:eastAsia="仿宋" w:cs="仿宋"/>
          <w:b/>
          <w:bCs/>
          <w:color w:val="auto"/>
          <w:sz w:val="24"/>
        </w:rPr>
        <w:t>（估价对象市场价值单价估价表）</w:t>
      </w:r>
    </w:p>
    <w:tbl>
      <w:tblPr>
        <w:tblStyle w:val="9"/>
        <w:tblW w:w="8757" w:type="dxa"/>
        <w:jc w:val="center"/>
        <w:tblLayout w:type="fixed"/>
        <w:tblCellMar>
          <w:top w:w="0" w:type="dxa"/>
          <w:left w:w="108" w:type="dxa"/>
          <w:bottom w:w="0" w:type="dxa"/>
          <w:right w:w="108" w:type="dxa"/>
        </w:tblCellMar>
      </w:tblPr>
      <w:tblGrid>
        <w:gridCol w:w="783"/>
        <w:gridCol w:w="1548"/>
        <w:gridCol w:w="2826"/>
        <w:gridCol w:w="819"/>
        <w:gridCol w:w="1274"/>
        <w:gridCol w:w="1507"/>
      </w:tblGrid>
      <w:tr>
        <w:tblPrEx>
          <w:tblCellMar>
            <w:top w:w="0" w:type="dxa"/>
            <w:left w:w="108" w:type="dxa"/>
            <w:bottom w:w="0" w:type="dxa"/>
            <w:right w:w="108" w:type="dxa"/>
          </w:tblCellMar>
        </w:tblPrEx>
        <w:trPr>
          <w:trHeight w:val="618"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b/>
                <w:bCs/>
                <w:color w:val="auto"/>
              </w:rPr>
            </w:pPr>
            <w:r>
              <w:rPr>
                <w:rFonts w:hint="eastAsia" w:ascii="仿宋" w:hAnsi="仿宋" w:eastAsia="仿宋" w:cs="仿宋"/>
                <w:b/>
                <w:bCs/>
                <w:color w:val="auto"/>
              </w:rPr>
              <w:t>序号</w:t>
            </w:r>
          </w:p>
        </w:tc>
        <w:tc>
          <w:tcPr>
            <w:tcW w:w="4374" w:type="dxa"/>
            <w:gridSpan w:val="2"/>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b/>
                <w:bCs/>
                <w:color w:val="auto"/>
              </w:rPr>
            </w:pPr>
            <w:r>
              <w:rPr>
                <w:rFonts w:hint="eastAsia" w:ascii="仿宋" w:hAnsi="仿宋" w:eastAsia="仿宋" w:cs="仿宋"/>
                <w:b/>
                <w:bCs/>
                <w:color w:val="auto"/>
              </w:rPr>
              <w:t>项目名称</w:t>
            </w:r>
          </w:p>
        </w:tc>
        <w:tc>
          <w:tcPr>
            <w:tcW w:w="819"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b/>
                <w:bCs/>
                <w:color w:val="auto"/>
              </w:rPr>
            </w:pPr>
            <w:r>
              <w:rPr>
                <w:rFonts w:hint="eastAsia" w:ascii="仿宋" w:hAnsi="仿宋" w:eastAsia="仿宋" w:cs="仿宋"/>
                <w:b/>
                <w:bCs/>
                <w:color w:val="auto"/>
              </w:rPr>
              <w:t>单位</w:t>
            </w:r>
          </w:p>
        </w:tc>
        <w:tc>
          <w:tcPr>
            <w:tcW w:w="1274"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b/>
                <w:bCs/>
                <w:color w:val="auto"/>
              </w:rPr>
            </w:pPr>
            <w:r>
              <w:rPr>
                <w:rFonts w:hint="eastAsia" w:ascii="仿宋" w:hAnsi="仿宋" w:eastAsia="仿宋" w:cs="仿宋"/>
                <w:b/>
                <w:bCs/>
                <w:color w:val="auto"/>
              </w:rPr>
              <w:t>单价（元）</w:t>
            </w:r>
          </w:p>
        </w:tc>
        <w:tc>
          <w:tcPr>
            <w:tcW w:w="1507"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b/>
                <w:bCs/>
                <w:color w:val="auto"/>
              </w:rPr>
            </w:pPr>
            <w:r>
              <w:rPr>
                <w:rFonts w:hint="eastAsia" w:ascii="仿宋" w:hAnsi="仿宋" w:eastAsia="仿宋" w:cs="仿宋"/>
                <w:b/>
                <w:bCs/>
                <w:color w:val="auto"/>
              </w:rPr>
              <w:t>备注</w:t>
            </w:r>
          </w:p>
        </w:tc>
      </w:tr>
      <w:tr>
        <w:tblPrEx>
          <w:tblCellMar>
            <w:top w:w="0" w:type="dxa"/>
            <w:left w:w="108" w:type="dxa"/>
            <w:bottom w:w="0" w:type="dxa"/>
            <w:right w:w="108" w:type="dxa"/>
          </w:tblCellMar>
        </w:tblPrEx>
        <w:trPr>
          <w:trHeight w:val="398" w:hRule="atLeast"/>
          <w:jc w:val="center"/>
        </w:trPr>
        <w:tc>
          <w:tcPr>
            <w:tcW w:w="783" w:type="dxa"/>
            <w:vMerge w:val="restart"/>
            <w:tcBorders>
              <w:top w:val="single" w:color="auto" w:sz="4" w:space="0"/>
              <w:left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1548" w:type="dxa"/>
            <w:vMerge w:val="restart"/>
            <w:tcBorders>
              <w:top w:val="single" w:color="auto" w:sz="4" w:space="0"/>
              <w:left w:val="nil"/>
              <w:right w:val="single" w:color="auto" w:sz="4" w:space="0"/>
            </w:tcBorders>
            <w:noWrap/>
            <w:vAlign w:val="center"/>
          </w:tcPr>
          <w:p>
            <w:pPr>
              <w:widowControl w:val="0"/>
              <w:spacing w:line="360" w:lineRule="auto"/>
              <w:jc w:val="center"/>
              <w:rPr>
                <w:rFonts w:hint="eastAsia" w:ascii="仿宋" w:hAnsi="仿宋" w:eastAsia="仿宋" w:cs="仿宋"/>
                <w:color w:val="auto"/>
              </w:rPr>
            </w:pPr>
            <w:r>
              <w:rPr>
                <w:rFonts w:hint="eastAsia" w:ascii="仿宋" w:hAnsi="仿宋" w:eastAsia="仿宋" w:cs="仿宋"/>
                <w:color w:val="auto"/>
              </w:rPr>
              <w:t>框架结构</w:t>
            </w:r>
          </w:p>
        </w:tc>
        <w:tc>
          <w:tcPr>
            <w:tcW w:w="2826"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无砌砖</w:t>
            </w:r>
          </w:p>
        </w:tc>
        <w:tc>
          <w:tcPr>
            <w:tcW w:w="819" w:type="dxa"/>
            <w:vMerge w:val="restart"/>
            <w:tcBorders>
              <w:top w:val="single" w:color="auto" w:sz="4" w:space="0"/>
              <w:left w:val="nil"/>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w:t>
            </w:r>
          </w:p>
        </w:tc>
        <w:tc>
          <w:tcPr>
            <w:tcW w:w="1274"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850</w:t>
            </w:r>
          </w:p>
        </w:tc>
        <w:tc>
          <w:tcPr>
            <w:tcW w:w="1507" w:type="dxa"/>
            <w:vMerge w:val="restart"/>
            <w:tcBorders>
              <w:top w:val="nil"/>
              <w:left w:val="nil"/>
              <w:right w:val="single" w:color="auto" w:sz="4" w:space="0"/>
            </w:tcBorders>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含基础</w:t>
            </w:r>
          </w:p>
        </w:tc>
      </w:tr>
      <w:tr>
        <w:tblPrEx>
          <w:tblCellMar>
            <w:top w:w="0" w:type="dxa"/>
            <w:left w:w="108" w:type="dxa"/>
            <w:bottom w:w="0" w:type="dxa"/>
            <w:right w:w="108" w:type="dxa"/>
          </w:tblCellMar>
        </w:tblPrEx>
        <w:trPr>
          <w:trHeight w:val="398" w:hRule="atLeast"/>
          <w:jc w:val="center"/>
        </w:trPr>
        <w:tc>
          <w:tcPr>
            <w:tcW w:w="783" w:type="dxa"/>
            <w:vMerge w:val="continue"/>
            <w:tcBorders>
              <w:left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p>
        </w:tc>
        <w:tc>
          <w:tcPr>
            <w:tcW w:w="1548" w:type="dxa"/>
            <w:vMerge w:val="continue"/>
            <w:tcBorders>
              <w:left w:val="nil"/>
              <w:right w:val="single" w:color="auto" w:sz="4" w:space="0"/>
            </w:tcBorders>
            <w:noWrap/>
            <w:vAlign w:val="center"/>
          </w:tcPr>
          <w:p>
            <w:pPr>
              <w:widowControl w:val="0"/>
              <w:spacing w:line="360" w:lineRule="auto"/>
              <w:jc w:val="center"/>
              <w:rPr>
                <w:rFonts w:hint="eastAsia" w:ascii="仿宋" w:hAnsi="仿宋" w:eastAsia="仿宋" w:cs="仿宋"/>
                <w:color w:val="auto"/>
              </w:rPr>
            </w:pPr>
          </w:p>
        </w:tc>
        <w:tc>
          <w:tcPr>
            <w:tcW w:w="2826"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有砌砖无批档</w:t>
            </w:r>
          </w:p>
        </w:tc>
        <w:tc>
          <w:tcPr>
            <w:tcW w:w="819" w:type="dxa"/>
            <w:vMerge w:val="continue"/>
            <w:tcBorders>
              <w:left w:val="nil"/>
              <w:right w:val="single" w:color="auto" w:sz="4" w:space="0"/>
            </w:tcBorders>
            <w:noWrap/>
            <w:vAlign w:val="center"/>
          </w:tcPr>
          <w:p>
            <w:pPr>
              <w:widowControl w:val="0"/>
              <w:spacing w:line="240" w:lineRule="auto"/>
              <w:jc w:val="center"/>
              <w:rPr>
                <w:rFonts w:hint="eastAsia" w:ascii="仿宋" w:hAnsi="仿宋" w:eastAsia="仿宋" w:cs="仿宋"/>
                <w:color w:val="auto"/>
              </w:rPr>
            </w:pPr>
          </w:p>
        </w:tc>
        <w:tc>
          <w:tcPr>
            <w:tcW w:w="1274"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1050</w:t>
            </w:r>
          </w:p>
        </w:tc>
        <w:tc>
          <w:tcPr>
            <w:tcW w:w="1507" w:type="dxa"/>
            <w:vMerge w:val="continue"/>
            <w:tcBorders>
              <w:left w:val="nil"/>
              <w:right w:val="single" w:color="auto" w:sz="4" w:space="0"/>
            </w:tcBorders>
            <w:noWrap/>
            <w:vAlign w:val="center"/>
          </w:tcPr>
          <w:p>
            <w:pPr>
              <w:widowControl w:val="0"/>
              <w:spacing w:line="580" w:lineRule="exact"/>
              <w:jc w:val="center"/>
              <w:rPr>
                <w:rFonts w:hint="eastAsia" w:ascii="仿宋" w:hAnsi="仿宋" w:eastAsia="仿宋" w:cs="仿宋"/>
                <w:color w:val="auto"/>
                <w:sz w:val="24"/>
              </w:rPr>
            </w:pPr>
          </w:p>
        </w:tc>
      </w:tr>
      <w:tr>
        <w:tblPrEx>
          <w:tblCellMar>
            <w:top w:w="0" w:type="dxa"/>
            <w:left w:w="108" w:type="dxa"/>
            <w:bottom w:w="0" w:type="dxa"/>
            <w:right w:w="108" w:type="dxa"/>
          </w:tblCellMar>
        </w:tblPrEx>
        <w:trPr>
          <w:trHeight w:val="398" w:hRule="atLeast"/>
          <w:jc w:val="center"/>
        </w:trPr>
        <w:tc>
          <w:tcPr>
            <w:tcW w:w="783" w:type="dxa"/>
            <w:vMerge w:val="continue"/>
            <w:tcBorders>
              <w:left w:val="single" w:color="auto" w:sz="4" w:space="0"/>
              <w:bottom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p>
        </w:tc>
        <w:tc>
          <w:tcPr>
            <w:tcW w:w="1548" w:type="dxa"/>
            <w:vMerge w:val="continue"/>
            <w:tcBorders>
              <w:left w:val="nil"/>
              <w:bottom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p>
        </w:tc>
        <w:tc>
          <w:tcPr>
            <w:tcW w:w="2826"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有砌砖有批档</w:t>
            </w:r>
          </w:p>
        </w:tc>
        <w:tc>
          <w:tcPr>
            <w:tcW w:w="819" w:type="dxa"/>
            <w:vMerge w:val="continue"/>
            <w:tcBorders>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c>
          <w:tcPr>
            <w:tcW w:w="1274"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1250</w:t>
            </w:r>
          </w:p>
        </w:tc>
        <w:tc>
          <w:tcPr>
            <w:tcW w:w="1507" w:type="dxa"/>
            <w:vMerge w:val="continue"/>
            <w:tcBorders>
              <w:left w:val="nil"/>
              <w:right w:val="single" w:color="auto" w:sz="4" w:space="0"/>
            </w:tcBorders>
            <w:noWrap/>
            <w:vAlign w:val="center"/>
          </w:tcPr>
          <w:p>
            <w:pPr>
              <w:widowControl w:val="0"/>
              <w:spacing w:line="580" w:lineRule="exact"/>
              <w:jc w:val="center"/>
              <w:rPr>
                <w:rFonts w:hint="eastAsia" w:ascii="仿宋" w:hAnsi="仿宋" w:eastAsia="仿宋" w:cs="仿宋"/>
                <w:color w:val="auto"/>
                <w:sz w:val="24"/>
              </w:rPr>
            </w:pPr>
          </w:p>
        </w:tc>
      </w:tr>
      <w:tr>
        <w:tblPrEx>
          <w:tblCellMar>
            <w:top w:w="0" w:type="dxa"/>
            <w:left w:w="108" w:type="dxa"/>
            <w:bottom w:w="0" w:type="dxa"/>
            <w:right w:w="108" w:type="dxa"/>
          </w:tblCellMar>
        </w:tblPrEx>
        <w:trPr>
          <w:trHeight w:val="398" w:hRule="atLeast"/>
          <w:jc w:val="center"/>
        </w:trPr>
        <w:tc>
          <w:tcPr>
            <w:tcW w:w="783" w:type="dxa"/>
            <w:vMerge w:val="restart"/>
            <w:tcBorders>
              <w:top w:val="single" w:color="auto" w:sz="4" w:space="0"/>
              <w:left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r>
              <w:rPr>
                <w:rFonts w:hint="eastAsia" w:ascii="仿宋" w:hAnsi="仿宋" w:eastAsia="仿宋" w:cs="仿宋"/>
                <w:color w:val="auto"/>
              </w:rPr>
              <w:t>2</w:t>
            </w:r>
          </w:p>
        </w:tc>
        <w:tc>
          <w:tcPr>
            <w:tcW w:w="1548" w:type="dxa"/>
            <w:vMerge w:val="restart"/>
            <w:tcBorders>
              <w:top w:val="single" w:color="auto" w:sz="4" w:space="0"/>
              <w:left w:val="nil"/>
              <w:right w:val="single" w:color="auto" w:sz="4" w:space="0"/>
            </w:tcBorders>
            <w:noWrap/>
            <w:vAlign w:val="center"/>
          </w:tcPr>
          <w:p>
            <w:pPr>
              <w:widowControl w:val="0"/>
              <w:spacing w:line="360" w:lineRule="auto"/>
              <w:jc w:val="center"/>
              <w:rPr>
                <w:rFonts w:hint="eastAsia" w:ascii="仿宋" w:hAnsi="仿宋" w:eastAsia="仿宋" w:cs="仿宋"/>
                <w:color w:val="auto"/>
              </w:rPr>
            </w:pPr>
            <w:r>
              <w:rPr>
                <w:rFonts w:hint="eastAsia" w:ascii="仿宋" w:hAnsi="仿宋" w:eastAsia="仿宋" w:cs="仿宋"/>
                <w:color w:val="auto"/>
              </w:rPr>
              <w:t>混合结构</w:t>
            </w:r>
          </w:p>
          <w:p>
            <w:pPr>
              <w:widowControl w:val="0"/>
              <w:spacing w:line="360" w:lineRule="auto"/>
              <w:jc w:val="center"/>
              <w:rPr>
                <w:rFonts w:hint="eastAsia" w:ascii="仿宋" w:hAnsi="仿宋" w:eastAsia="仿宋" w:cs="仿宋"/>
                <w:color w:val="auto"/>
              </w:rPr>
            </w:pPr>
            <w:r>
              <w:rPr>
                <w:rFonts w:hint="eastAsia" w:ascii="仿宋" w:hAnsi="仿宋" w:eastAsia="仿宋" w:cs="仿宋"/>
                <w:color w:val="auto"/>
              </w:rPr>
              <w:t>（有圈梁）</w:t>
            </w:r>
          </w:p>
        </w:tc>
        <w:tc>
          <w:tcPr>
            <w:tcW w:w="2826"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无批档</w:t>
            </w:r>
          </w:p>
        </w:tc>
        <w:tc>
          <w:tcPr>
            <w:tcW w:w="819" w:type="dxa"/>
            <w:vMerge w:val="restart"/>
            <w:tcBorders>
              <w:top w:val="single" w:color="auto" w:sz="4" w:space="0"/>
              <w:left w:val="nil"/>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w:t>
            </w:r>
          </w:p>
        </w:tc>
        <w:tc>
          <w:tcPr>
            <w:tcW w:w="1274"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950</w:t>
            </w:r>
          </w:p>
        </w:tc>
        <w:tc>
          <w:tcPr>
            <w:tcW w:w="1507" w:type="dxa"/>
            <w:vMerge w:val="continue"/>
            <w:tcBorders>
              <w:left w:val="nil"/>
              <w:right w:val="single" w:color="auto" w:sz="4" w:space="0"/>
            </w:tcBorders>
            <w:noWrap/>
            <w:vAlign w:val="center"/>
          </w:tcPr>
          <w:p>
            <w:pPr>
              <w:widowControl w:val="0"/>
              <w:spacing w:line="580" w:lineRule="exact"/>
              <w:rPr>
                <w:rFonts w:hint="eastAsia" w:ascii="仿宋" w:hAnsi="仿宋" w:eastAsia="仿宋" w:cs="仿宋"/>
                <w:color w:val="auto"/>
                <w:sz w:val="24"/>
              </w:rPr>
            </w:pPr>
          </w:p>
        </w:tc>
      </w:tr>
      <w:tr>
        <w:tblPrEx>
          <w:tblCellMar>
            <w:top w:w="0" w:type="dxa"/>
            <w:left w:w="108" w:type="dxa"/>
            <w:bottom w:w="0" w:type="dxa"/>
            <w:right w:w="108" w:type="dxa"/>
          </w:tblCellMar>
        </w:tblPrEx>
        <w:trPr>
          <w:trHeight w:val="531" w:hRule="atLeast"/>
          <w:jc w:val="center"/>
        </w:trPr>
        <w:tc>
          <w:tcPr>
            <w:tcW w:w="783" w:type="dxa"/>
            <w:vMerge w:val="continue"/>
            <w:tcBorders>
              <w:left w:val="single" w:color="auto" w:sz="4" w:space="0"/>
              <w:bottom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p>
        </w:tc>
        <w:tc>
          <w:tcPr>
            <w:tcW w:w="1548" w:type="dxa"/>
            <w:vMerge w:val="continue"/>
            <w:tcBorders>
              <w:left w:val="nil"/>
              <w:bottom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p>
        </w:tc>
        <w:tc>
          <w:tcPr>
            <w:tcW w:w="2826"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有批档</w:t>
            </w:r>
          </w:p>
        </w:tc>
        <w:tc>
          <w:tcPr>
            <w:tcW w:w="819" w:type="dxa"/>
            <w:vMerge w:val="continue"/>
            <w:tcBorders>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c>
          <w:tcPr>
            <w:tcW w:w="1274"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1150</w:t>
            </w:r>
          </w:p>
        </w:tc>
        <w:tc>
          <w:tcPr>
            <w:tcW w:w="1507" w:type="dxa"/>
            <w:vMerge w:val="continue"/>
            <w:tcBorders>
              <w:left w:val="nil"/>
              <w:right w:val="single" w:color="auto" w:sz="4" w:space="0"/>
            </w:tcBorders>
            <w:noWrap/>
            <w:vAlign w:val="center"/>
          </w:tcPr>
          <w:p>
            <w:pPr>
              <w:widowControl w:val="0"/>
              <w:spacing w:line="580" w:lineRule="exact"/>
              <w:rPr>
                <w:rFonts w:hint="eastAsia" w:ascii="仿宋" w:hAnsi="仿宋" w:eastAsia="仿宋" w:cs="仿宋"/>
                <w:color w:val="auto"/>
                <w:sz w:val="24"/>
              </w:rPr>
            </w:pPr>
          </w:p>
        </w:tc>
      </w:tr>
      <w:tr>
        <w:tblPrEx>
          <w:tblCellMar>
            <w:top w:w="0" w:type="dxa"/>
            <w:left w:w="108" w:type="dxa"/>
            <w:bottom w:w="0" w:type="dxa"/>
            <w:right w:w="108" w:type="dxa"/>
          </w:tblCellMar>
        </w:tblPrEx>
        <w:trPr>
          <w:trHeight w:val="398" w:hRule="atLeast"/>
          <w:jc w:val="center"/>
        </w:trPr>
        <w:tc>
          <w:tcPr>
            <w:tcW w:w="783" w:type="dxa"/>
            <w:vMerge w:val="restart"/>
            <w:tcBorders>
              <w:top w:val="single" w:color="auto" w:sz="4" w:space="0"/>
              <w:left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r>
              <w:rPr>
                <w:rFonts w:hint="eastAsia" w:ascii="仿宋" w:hAnsi="仿宋" w:eastAsia="仿宋" w:cs="仿宋"/>
                <w:color w:val="auto"/>
              </w:rPr>
              <w:t>3</w:t>
            </w:r>
          </w:p>
        </w:tc>
        <w:tc>
          <w:tcPr>
            <w:tcW w:w="1548" w:type="dxa"/>
            <w:vMerge w:val="restart"/>
            <w:tcBorders>
              <w:top w:val="single" w:color="auto" w:sz="4" w:space="0"/>
              <w:left w:val="nil"/>
              <w:right w:val="single" w:color="auto" w:sz="4" w:space="0"/>
            </w:tcBorders>
            <w:noWrap/>
            <w:vAlign w:val="center"/>
          </w:tcPr>
          <w:p>
            <w:pPr>
              <w:widowControl w:val="0"/>
              <w:spacing w:line="360" w:lineRule="auto"/>
              <w:jc w:val="center"/>
              <w:rPr>
                <w:rFonts w:hint="eastAsia" w:ascii="仿宋" w:hAnsi="仿宋" w:eastAsia="仿宋" w:cs="仿宋"/>
                <w:color w:val="auto"/>
              </w:rPr>
            </w:pPr>
            <w:r>
              <w:rPr>
                <w:rFonts w:hint="eastAsia" w:ascii="仿宋" w:hAnsi="仿宋" w:eastAsia="仿宋" w:cs="仿宋"/>
                <w:color w:val="auto"/>
              </w:rPr>
              <w:t>混合结构</w:t>
            </w:r>
          </w:p>
          <w:p>
            <w:pPr>
              <w:widowControl w:val="0"/>
              <w:spacing w:line="360" w:lineRule="auto"/>
              <w:jc w:val="center"/>
              <w:rPr>
                <w:rFonts w:hint="eastAsia" w:ascii="仿宋" w:hAnsi="仿宋" w:eastAsia="仿宋" w:cs="仿宋"/>
                <w:color w:val="auto"/>
              </w:rPr>
            </w:pPr>
            <w:r>
              <w:rPr>
                <w:rFonts w:hint="eastAsia" w:ascii="仿宋" w:hAnsi="仿宋" w:eastAsia="仿宋" w:cs="仿宋"/>
                <w:color w:val="auto"/>
              </w:rPr>
              <w:t>（无圈梁）</w:t>
            </w:r>
          </w:p>
        </w:tc>
        <w:tc>
          <w:tcPr>
            <w:tcW w:w="2826"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无批档</w:t>
            </w:r>
          </w:p>
        </w:tc>
        <w:tc>
          <w:tcPr>
            <w:tcW w:w="819" w:type="dxa"/>
            <w:vMerge w:val="restart"/>
            <w:tcBorders>
              <w:top w:val="single" w:color="auto" w:sz="4" w:space="0"/>
              <w:left w:val="nil"/>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w:t>
            </w:r>
          </w:p>
        </w:tc>
        <w:tc>
          <w:tcPr>
            <w:tcW w:w="1274"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850</w:t>
            </w:r>
          </w:p>
        </w:tc>
        <w:tc>
          <w:tcPr>
            <w:tcW w:w="1507" w:type="dxa"/>
            <w:vMerge w:val="continue"/>
            <w:tcBorders>
              <w:left w:val="nil"/>
              <w:right w:val="single" w:color="auto" w:sz="4" w:space="0"/>
            </w:tcBorders>
            <w:noWrap/>
            <w:vAlign w:val="center"/>
          </w:tcPr>
          <w:p>
            <w:pPr>
              <w:widowControl w:val="0"/>
              <w:spacing w:line="580" w:lineRule="exact"/>
              <w:rPr>
                <w:rFonts w:hint="eastAsia" w:ascii="仿宋" w:hAnsi="仿宋" w:eastAsia="仿宋" w:cs="仿宋"/>
                <w:color w:val="auto"/>
                <w:sz w:val="24"/>
              </w:rPr>
            </w:pPr>
          </w:p>
        </w:tc>
      </w:tr>
      <w:tr>
        <w:tblPrEx>
          <w:tblCellMar>
            <w:top w:w="0" w:type="dxa"/>
            <w:left w:w="108" w:type="dxa"/>
            <w:bottom w:w="0" w:type="dxa"/>
            <w:right w:w="108" w:type="dxa"/>
          </w:tblCellMar>
        </w:tblPrEx>
        <w:trPr>
          <w:trHeight w:val="531" w:hRule="atLeast"/>
          <w:jc w:val="center"/>
        </w:trPr>
        <w:tc>
          <w:tcPr>
            <w:tcW w:w="783" w:type="dxa"/>
            <w:vMerge w:val="continue"/>
            <w:tcBorders>
              <w:left w:val="single" w:color="auto" w:sz="4" w:space="0"/>
              <w:bottom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p>
        </w:tc>
        <w:tc>
          <w:tcPr>
            <w:tcW w:w="1548" w:type="dxa"/>
            <w:vMerge w:val="continue"/>
            <w:tcBorders>
              <w:left w:val="nil"/>
              <w:bottom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p>
        </w:tc>
        <w:tc>
          <w:tcPr>
            <w:tcW w:w="2826"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有批档</w:t>
            </w:r>
          </w:p>
        </w:tc>
        <w:tc>
          <w:tcPr>
            <w:tcW w:w="819" w:type="dxa"/>
            <w:vMerge w:val="continue"/>
            <w:tcBorders>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c>
          <w:tcPr>
            <w:tcW w:w="1274"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1050</w:t>
            </w:r>
          </w:p>
        </w:tc>
        <w:tc>
          <w:tcPr>
            <w:tcW w:w="1507" w:type="dxa"/>
            <w:vMerge w:val="continue"/>
            <w:tcBorders>
              <w:left w:val="nil"/>
              <w:bottom w:val="single" w:color="auto" w:sz="4" w:space="0"/>
              <w:right w:val="single" w:color="auto" w:sz="4" w:space="0"/>
            </w:tcBorders>
            <w:noWrap/>
            <w:vAlign w:val="center"/>
          </w:tcPr>
          <w:p>
            <w:pPr>
              <w:widowControl w:val="0"/>
              <w:spacing w:line="580" w:lineRule="exact"/>
              <w:rPr>
                <w:rFonts w:hint="eastAsia" w:ascii="仿宋" w:hAnsi="仿宋" w:eastAsia="仿宋" w:cs="仿宋"/>
                <w:color w:val="auto"/>
                <w:sz w:val="24"/>
              </w:rPr>
            </w:pPr>
          </w:p>
        </w:tc>
      </w:tr>
      <w:tr>
        <w:tblPrEx>
          <w:tblCellMar>
            <w:top w:w="0" w:type="dxa"/>
            <w:left w:w="108" w:type="dxa"/>
            <w:bottom w:w="0" w:type="dxa"/>
            <w:right w:w="108" w:type="dxa"/>
          </w:tblCellMar>
        </w:tblPrEx>
        <w:trPr>
          <w:trHeight w:val="398" w:hRule="atLeast"/>
          <w:jc w:val="center"/>
        </w:trPr>
        <w:tc>
          <w:tcPr>
            <w:tcW w:w="783" w:type="dxa"/>
            <w:vMerge w:val="restart"/>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r>
              <w:rPr>
                <w:rFonts w:hint="eastAsia" w:ascii="仿宋" w:hAnsi="仿宋" w:eastAsia="仿宋" w:cs="仿宋"/>
                <w:color w:val="auto"/>
              </w:rPr>
              <w:t>4</w:t>
            </w:r>
          </w:p>
        </w:tc>
        <w:tc>
          <w:tcPr>
            <w:tcW w:w="1548" w:type="dxa"/>
            <w:vMerge w:val="restart"/>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r>
              <w:rPr>
                <w:rFonts w:hint="eastAsia" w:ascii="仿宋" w:hAnsi="仿宋" w:eastAsia="仿宋" w:cs="仿宋"/>
                <w:color w:val="auto"/>
              </w:rPr>
              <w:t>（泥、红）</w:t>
            </w:r>
          </w:p>
          <w:p>
            <w:pPr>
              <w:widowControl w:val="0"/>
              <w:spacing w:line="360" w:lineRule="auto"/>
              <w:jc w:val="center"/>
              <w:rPr>
                <w:rFonts w:hint="eastAsia" w:ascii="仿宋" w:hAnsi="仿宋" w:eastAsia="仿宋" w:cs="仿宋"/>
                <w:color w:val="auto"/>
              </w:rPr>
            </w:pPr>
            <w:r>
              <w:rPr>
                <w:rFonts w:hint="eastAsia" w:ascii="仿宋" w:hAnsi="仿宋" w:eastAsia="仿宋" w:cs="仿宋"/>
                <w:color w:val="auto"/>
              </w:rPr>
              <w:t>砖木瓦结构</w:t>
            </w:r>
          </w:p>
        </w:tc>
        <w:tc>
          <w:tcPr>
            <w:tcW w:w="2826" w:type="dxa"/>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无批档</w:t>
            </w:r>
          </w:p>
        </w:tc>
        <w:tc>
          <w:tcPr>
            <w:tcW w:w="819" w:type="dxa"/>
            <w:vMerge w:val="restart"/>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w:t>
            </w:r>
          </w:p>
        </w:tc>
        <w:tc>
          <w:tcPr>
            <w:tcW w:w="1274" w:type="dxa"/>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700</w:t>
            </w:r>
          </w:p>
        </w:tc>
        <w:tc>
          <w:tcPr>
            <w:tcW w:w="1507" w:type="dxa"/>
            <w:vMerge w:val="continue"/>
            <w:tcBorders>
              <w:top w:val="single" w:color="auto" w:sz="4" w:space="0"/>
              <w:left w:val="single" w:color="auto" w:sz="4" w:space="0"/>
              <w:bottom w:val="single" w:color="auto" w:sz="4" w:space="0"/>
              <w:right w:val="single" w:color="auto" w:sz="4" w:space="0"/>
            </w:tcBorders>
            <w:noWrap/>
            <w:vAlign w:val="center"/>
          </w:tcPr>
          <w:p>
            <w:pPr>
              <w:widowControl w:val="0"/>
              <w:spacing w:line="580" w:lineRule="exact"/>
              <w:rPr>
                <w:rFonts w:hint="eastAsia" w:ascii="仿宋" w:hAnsi="仿宋" w:eastAsia="仿宋" w:cs="仿宋"/>
                <w:color w:val="auto"/>
                <w:sz w:val="24"/>
              </w:rPr>
            </w:pPr>
          </w:p>
        </w:tc>
      </w:tr>
      <w:tr>
        <w:tblPrEx>
          <w:tblCellMar>
            <w:top w:w="0" w:type="dxa"/>
            <w:left w:w="108" w:type="dxa"/>
            <w:bottom w:w="0" w:type="dxa"/>
            <w:right w:w="108" w:type="dxa"/>
          </w:tblCellMar>
        </w:tblPrEx>
        <w:trPr>
          <w:trHeight w:val="531" w:hRule="atLeast"/>
          <w:jc w:val="center"/>
        </w:trPr>
        <w:tc>
          <w:tcPr>
            <w:tcW w:w="783" w:type="dxa"/>
            <w:vMerge w:val="continue"/>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p>
        </w:tc>
        <w:tc>
          <w:tcPr>
            <w:tcW w:w="1548" w:type="dxa"/>
            <w:vMerge w:val="continue"/>
            <w:tcBorders>
              <w:top w:val="single" w:color="auto" w:sz="4" w:space="0"/>
              <w:left w:val="single" w:color="auto" w:sz="4" w:space="0"/>
              <w:bottom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p>
        </w:tc>
        <w:tc>
          <w:tcPr>
            <w:tcW w:w="2826" w:type="dxa"/>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有批档</w:t>
            </w:r>
          </w:p>
        </w:tc>
        <w:tc>
          <w:tcPr>
            <w:tcW w:w="819" w:type="dxa"/>
            <w:vMerge w:val="continue"/>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c>
          <w:tcPr>
            <w:tcW w:w="1274" w:type="dxa"/>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900</w:t>
            </w:r>
          </w:p>
        </w:tc>
        <w:tc>
          <w:tcPr>
            <w:tcW w:w="1507" w:type="dxa"/>
            <w:vMerge w:val="continue"/>
            <w:tcBorders>
              <w:top w:val="single" w:color="auto" w:sz="4" w:space="0"/>
              <w:left w:val="single" w:color="auto" w:sz="4" w:space="0"/>
              <w:bottom w:val="single" w:color="auto" w:sz="4" w:space="0"/>
              <w:right w:val="single" w:color="auto" w:sz="4" w:space="0"/>
            </w:tcBorders>
            <w:noWrap/>
            <w:vAlign w:val="center"/>
          </w:tcPr>
          <w:p>
            <w:pPr>
              <w:widowControl w:val="0"/>
              <w:spacing w:line="580" w:lineRule="exact"/>
              <w:rPr>
                <w:rFonts w:hint="eastAsia" w:ascii="仿宋" w:hAnsi="仿宋" w:eastAsia="仿宋" w:cs="仿宋"/>
                <w:color w:val="auto"/>
                <w:sz w:val="24"/>
              </w:rPr>
            </w:pPr>
          </w:p>
        </w:tc>
      </w:tr>
      <w:tr>
        <w:tblPrEx>
          <w:tblCellMar>
            <w:top w:w="0" w:type="dxa"/>
            <w:left w:w="108" w:type="dxa"/>
            <w:bottom w:w="0" w:type="dxa"/>
            <w:right w:w="108" w:type="dxa"/>
          </w:tblCellMar>
        </w:tblPrEx>
        <w:trPr>
          <w:trHeight w:val="398" w:hRule="atLeast"/>
          <w:jc w:val="center"/>
        </w:trPr>
        <w:tc>
          <w:tcPr>
            <w:tcW w:w="783" w:type="dxa"/>
            <w:vMerge w:val="restart"/>
            <w:tcBorders>
              <w:top w:val="single" w:color="auto" w:sz="4" w:space="0"/>
              <w:left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r>
              <w:rPr>
                <w:rFonts w:hint="eastAsia" w:ascii="仿宋" w:hAnsi="仿宋" w:eastAsia="仿宋" w:cs="仿宋"/>
                <w:color w:val="auto"/>
              </w:rPr>
              <w:t>5</w:t>
            </w:r>
          </w:p>
        </w:tc>
        <w:tc>
          <w:tcPr>
            <w:tcW w:w="1548" w:type="dxa"/>
            <w:vMerge w:val="restart"/>
            <w:tcBorders>
              <w:top w:val="single" w:color="auto" w:sz="4" w:space="0"/>
              <w:left w:val="nil"/>
              <w:bottom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r>
              <w:rPr>
                <w:rFonts w:hint="eastAsia" w:ascii="仿宋" w:hAnsi="仿宋" w:eastAsia="仿宋" w:cs="仿宋"/>
                <w:color w:val="auto"/>
              </w:rPr>
              <w:t>红砖铁皮</w:t>
            </w:r>
          </w:p>
          <w:p>
            <w:pPr>
              <w:widowControl w:val="0"/>
              <w:spacing w:line="360" w:lineRule="auto"/>
              <w:jc w:val="center"/>
              <w:rPr>
                <w:rFonts w:hint="eastAsia" w:ascii="仿宋" w:hAnsi="仿宋" w:eastAsia="仿宋" w:cs="仿宋"/>
                <w:color w:val="auto"/>
              </w:rPr>
            </w:pPr>
            <w:r>
              <w:rPr>
                <w:rFonts w:hint="eastAsia" w:ascii="仿宋" w:hAnsi="仿宋" w:eastAsia="仿宋" w:cs="仿宋"/>
                <w:color w:val="auto"/>
              </w:rPr>
              <w:t>（石棉）瓦</w:t>
            </w:r>
          </w:p>
        </w:tc>
        <w:tc>
          <w:tcPr>
            <w:tcW w:w="2826"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无批档</w:t>
            </w:r>
          </w:p>
        </w:tc>
        <w:tc>
          <w:tcPr>
            <w:tcW w:w="819" w:type="dxa"/>
            <w:vMerge w:val="restart"/>
            <w:tcBorders>
              <w:top w:val="single" w:color="auto" w:sz="4" w:space="0"/>
              <w:left w:val="nil"/>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w:t>
            </w:r>
          </w:p>
        </w:tc>
        <w:tc>
          <w:tcPr>
            <w:tcW w:w="1274"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500</w:t>
            </w:r>
          </w:p>
        </w:tc>
        <w:tc>
          <w:tcPr>
            <w:tcW w:w="1507" w:type="dxa"/>
            <w:vMerge w:val="continue"/>
            <w:tcBorders>
              <w:top w:val="single" w:color="auto" w:sz="4" w:space="0"/>
              <w:left w:val="nil"/>
              <w:right w:val="single" w:color="auto" w:sz="4" w:space="0"/>
            </w:tcBorders>
            <w:noWrap/>
            <w:vAlign w:val="center"/>
          </w:tcPr>
          <w:p>
            <w:pPr>
              <w:widowControl w:val="0"/>
              <w:spacing w:line="580" w:lineRule="exact"/>
              <w:rPr>
                <w:rFonts w:hint="eastAsia" w:ascii="仿宋" w:hAnsi="仿宋" w:eastAsia="仿宋" w:cs="仿宋"/>
                <w:color w:val="auto"/>
                <w:sz w:val="24"/>
              </w:rPr>
            </w:pPr>
          </w:p>
        </w:tc>
      </w:tr>
      <w:tr>
        <w:tblPrEx>
          <w:tblCellMar>
            <w:top w:w="0" w:type="dxa"/>
            <w:left w:w="108" w:type="dxa"/>
            <w:bottom w:w="0" w:type="dxa"/>
            <w:right w:w="108" w:type="dxa"/>
          </w:tblCellMar>
        </w:tblPrEx>
        <w:trPr>
          <w:trHeight w:val="552" w:hRule="atLeast"/>
          <w:jc w:val="center"/>
        </w:trPr>
        <w:tc>
          <w:tcPr>
            <w:tcW w:w="783" w:type="dxa"/>
            <w:vMerge w:val="continue"/>
            <w:tcBorders>
              <w:left w:val="single" w:color="auto" w:sz="4" w:space="0"/>
              <w:bottom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p>
        </w:tc>
        <w:tc>
          <w:tcPr>
            <w:tcW w:w="1548" w:type="dxa"/>
            <w:vMerge w:val="continue"/>
            <w:tcBorders>
              <w:top w:val="single" w:color="auto" w:sz="4" w:space="0"/>
              <w:left w:val="nil"/>
              <w:bottom w:val="single" w:color="auto" w:sz="4" w:space="0"/>
              <w:right w:val="single" w:color="auto" w:sz="4" w:space="0"/>
            </w:tcBorders>
            <w:noWrap/>
            <w:vAlign w:val="center"/>
          </w:tcPr>
          <w:p>
            <w:pPr>
              <w:widowControl w:val="0"/>
              <w:spacing w:line="360" w:lineRule="auto"/>
              <w:jc w:val="center"/>
              <w:rPr>
                <w:rFonts w:hint="eastAsia" w:ascii="仿宋" w:hAnsi="仿宋" w:eastAsia="仿宋" w:cs="仿宋"/>
                <w:color w:val="auto"/>
              </w:rPr>
            </w:pPr>
          </w:p>
        </w:tc>
        <w:tc>
          <w:tcPr>
            <w:tcW w:w="2826"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有批档</w:t>
            </w:r>
          </w:p>
        </w:tc>
        <w:tc>
          <w:tcPr>
            <w:tcW w:w="819" w:type="dxa"/>
            <w:vMerge w:val="continue"/>
            <w:tcBorders>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c>
          <w:tcPr>
            <w:tcW w:w="1274"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700</w:t>
            </w:r>
          </w:p>
        </w:tc>
        <w:tc>
          <w:tcPr>
            <w:tcW w:w="1507" w:type="dxa"/>
            <w:vMerge w:val="continue"/>
            <w:tcBorders>
              <w:left w:val="nil"/>
              <w:bottom w:val="single" w:color="auto" w:sz="4" w:space="0"/>
              <w:right w:val="single" w:color="auto" w:sz="4" w:space="0"/>
            </w:tcBorders>
            <w:noWrap/>
            <w:vAlign w:val="center"/>
          </w:tcPr>
          <w:p>
            <w:pPr>
              <w:widowControl w:val="0"/>
              <w:spacing w:line="580" w:lineRule="exact"/>
              <w:rPr>
                <w:rFonts w:hint="eastAsia" w:ascii="仿宋" w:hAnsi="仿宋" w:eastAsia="仿宋" w:cs="仿宋"/>
                <w:color w:val="auto"/>
                <w:sz w:val="24"/>
              </w:rPr>
            </w:pPr>
          </w:p>
        </w:tc>
      </w:tr>
    </w:tbl>
    <w:p>
      <w:pPr>
        <w:widowControl w:val="0"/>
        <w:spacing w:line="580" w:lineRule="exact"/>
        <w:ind w:firstLine="530" w:firstLineChars="200"/>
        <w:rPr>
          <w:rFonts w:hint="eastAsia" w:ascii="仿宋" w:hAnsi="仿宋" w:eastAsia="仿宋" w:cs="仿宋"/>
          <w:color w:val="auto"/>
          <w:sz w:val="24"/>
        </w:rPr>
      </w:pPr>
      <w:r>
        <w:rPr>
          <w:rFonts w:hint="eastAsia" w:ascii="仿宋" w:hAnsi="仿宋" w:eastAsia="仿宋" w:cs="仿宋"/>
          <w:color w:val="auto"/>
          <w:sz w:val="24"/>
        </w:rPr>
        <w:t>备注：上述各项均包含人工、材料、机械设备费用。不包含室内外装饰装修。</w:t>
      </w:r>
    </w:p>
    <w:p>
      <w:pPr>
        <w:spacing w:line="580" w:lineRule="exact"/>
        <w:ind w:firstLine="650" w:firstLineChars="200"/>
        <w:rPr>
          <w:rFonts w:hint="default" w:eastAsia="黑体" w:asciiTheme="minorHAnsi" w:hAnsiTheme="minorHAnsi" w:cstheme="minorBidi"/>
          <w:b w:val="0"/>
          <w:bCs/>
          <w:sz w:val="30"/>
        </w:rPr>
      </w:pPr>
    </w:p>
    <w:p>
      <w:pPr>
        <w:widowControl/>
        <w:numPr>
          <w:ilvl w:val="-1"/>
          <w:numId w:val="0"/>
        </w:numPr>
        <w:spacing w:after="0" w:line="240" w:lineRule="auto"/>
        <w:rPr>
          <w:rFonts w:hint="eastAsia" w:ascii="仿宋" w:hAnsi="仿宋" w:eastAsia="仿宋" w:cs="仿宋"/>
          <w:b/>
          <w:bCs/>
          <w:color w:val="auto"/>
          <w:sz w:val="24"/>
        </w:rPr>
      </w:pPr>
      <w:r>
        <w:rPr>
          <w:rFonts w:hint="eastAsia" w:ascii="仿宋" w:hAnsi="仿宋" w:eastAsia="仿宋" w:cs="仿宋"/>
          <w:b/>
          <w:bCs/>
          <w:color w:val="auto"/>
          <w:sz w:val="24"/>
        </w:rPr>
        <w:br w:type="page"/>
      </w:r>
    </w:p>
    <w:p>
      <w:pPr>
        <w:widowControl w:val="0"/>
        <w:numPr>
          <w:ilvl w:val="255"/>
          <w:numId w:val="0"/>
        </w:numPr>
        <w:spacing w:after="156" w:line="580" w:lineRule="exact"/>
        <w:rPr>
          <w:rFonts w:hint="eastAsia" w:ascii="仿宋" w:hAnsi="仿宋" w:eastAsia="仿宋" w:cs="仿宋"/>
          <w:b/>
          <w:bCs/>
          <w:color w:val="auto"/>
          <w:sz w:val="24"/>
        </w:rPr>
      </w:pPr>
      <w:r>
        <w:rPr>
          <w:rFonts w:hint="eastAsia" w:ascii="仿宋" w:hAnsi="仿宋" w:eastAsia="仿宋" w:cs="仿宋"/>
          <w:b/>
          <w:bCs/>
          <w:color w:val="auto"/>
          <w:sz w:val="24"/>
        </w:rPr>
        <w:t>三、室内装修补偿参考标准</w:t>
      </w:r>
    </w:p>
    <w:tbl>
      <w:tblPr>
        <w:tblStyle w:val="9"/>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00"/>
        <w:gridCol w:w="750"/>
        <w:gridCol w:w="1404"/>
        <w:gridCol w:w="861"/>
        <w:gridCol w:w="4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val="0"/>
              <w:spacing w:line="580" w:lineRule="exact"/>
              <w:jc w:val="center"/>
              <w:rPr>
                <w:rFonts w:hint="eastAsia" w:ascii="仿宋" w:hAnsi="仿宋" w:eastAsia="仿宋" w:cs="仿宋"/>
                <w:b/>
                <w:bCs/>
                <w:color w:val="auto"/>
              </w:rPr>
            </w:pPr>
            <w:r>
              <w:rPr>
                <w:rFonts w:hint="eastAsia" w:ascii="仿宋" w:hAnsi="仿宋" w:eastAsia="仿宋" w:cs="仿宋"/>
                <w:b/>
                <w:bCs/>
                <w:color w:val="auto"/>
              </w:rPr>
              <w:t>序号</w:t>
            </w:r>
          </w:p>
        </w:tc>
        <w:tc>
          <w:tcPr>
            <w:tcW w:w="1200" w:type="dxa"/>
            <w:tcBorders>
              <w:top w:val="single" w:color="auto" w:sz="4" w:space="0"/>
              <w:left w:val="nil"/>
              <w:bottom w:val="single" w:color="auto" w:sz="4" w:space="0"/>
              <w:right w:val="single" w:color="auto" w:sz="4" w:space="0"/>
            </w:tcBorders>
            <w:noWrap/>
            <w:vAlign w:val="center"/>
          </w:tcPr>
          <w:p>
            <w:pPr>
              <w:widowControl w:val="0"/>
              <w:spacing w:line="580" w:lineRule="exact"/>
              <w:jc w:val="center"/>
              <w:rPr>
                <w:rFonts w:hint="eastAsia" w:ascii="仿宋" w:hAnsi="仿宋" w:eastAsia="仿宋" w:cs="仿宋"/>
                <w:b/>
                <w:bCs/>
                <w:color w:val="auto"/>
              </w:rPr>
            </w:pPr>
            <w:r>
              <w:rPr>
                <w:rFonts w:hint="eastAsia" w:ascii="仿宋" w:hAnsi="仿宋" w:eastAsia="仿宋" w:cs="仿宋"/>
                <w:b/>
                <w:bCs/>
                <w:color w:val="auto"/>
              </w:rPr>
              <w:t>项目名称</w:t>
            </w:r>
          </w:p>
        </w:tc>
        <w:tc>
          <w:tcPr>
            <w:tcW w:w="750" w:type="dxa"/>
            <w:tcBorders>
              <w:top w:val="single" w:color="auto" w:sz="4" w:space="0"/>
              <w:left w:val="nil"/>
              <w:bottom w:val="single" w:color="auto" w:sz="4" w:space="0"/>
              <w:right w:val="single" w:color="auto" w:sz="4" w:space="0"/>
            </w:tcBorders>
            <w:noWrap/>
            <w:vAlign w:val="center"/>
          </w:tcPr>
          <w:p>
            <w:pPr>
              <w:widowControl w:val="0"/>
              <w:spacing w:line="580" w:lineRule="exact"/>
              <w:jc w:val="center"/>
              <w:rPr>
                <w:rFonts w:hint="eastAsia" w:ascii="仿宋" w:hAnsi="仿宋" w:eastAsia="仿宋" w:cs="仿宋"/>
                <w:b/>
                <w:bCs/>
                <w:color w:val="auto"/>
              </w:rPr>
            </w:pPr>
            <w:r>
              <w:rPr>
                <w:rFonts w:hint="eastAsia" w:ascii="仿宋" w:hAnsi="仿宋" w:eastAsia="仿宋" w:cs="仿宋"/>
                <w:b/>
                <w:bCs/>
                <w:color w:val="auto"/>
              </w:rPr>
              <w:t>单位</w:t>
            </w:r>
          </w:p>
        </w:tc>
        <w:tc>
          <w:tcPr>
            <w:tcW w:w="1404" w:type="dxa"/>
            <w:tcBorders>
              <w:top w:val="single" w:color="auto" w:sz="4" w:space="0"/>
              <w:left w:val="nil"/>
              <w:bottom w:val="single" w:color="auto" w:sz="4" w:space="0"/>
              <w:right w:val="single" w:color="auto" w:sz="4" w:space="0"/>
            </w:tcBorders>
            <w:noWrap/>
            <w:vAlign w:val="center"/>
          </w:tcPr>
          <w:p>
            <w:pPr>
              <w:widowControl w:val="0"/>
              <w:spacing w:line="580" w:lineRule="exact"/>
              <w:jc w:val="center"/>
              <w:rPr>
                <w:rFonts w:hint="eastAsia" w:ascii="仿宋" w:hAnsi="仿宋" w:eastAsia="仿宋" w:cs="仿宋"/>
                <w:b/>
                <w:bCs/>
                <w:color w:val="auto"/>
              </w:rPr>
            </w:pPr>
            <w:r>
              <w:rPr>
                <w:rFonts w:hint="eastAsia" w:ascii="仿宋" w:hAnsi="仿宋" w:eastAsia="仿宋" w:cs="仿宋"/>
                <w:b/>
                <w:bCs/>
                <w:color w:val="auto"/>
              </w:rPr>
              <w:t>单价（元）</w:t>
            </w:r>
          </w:p>
        </w:tc>
        <w:tc>
          <w:tcPr>
            <w:tcW w:w="861" w:type="dxa"/>
            <w:tcBorders>
              <w:top w:val="single" w:color="auto" w:sz="4" w:space="0"/>
              <w:left w:val="nil"/>
              <w:bottom w:val="single" w:color="auto" w:sz="4" w:space="0"/>
              <w:right w:val="single" w:color="auto" w:sz="4" w:space="0"/>
            </w:tcBorders>
            <w:noWrap/>
            <w:vAlign w:val="center"/>
          </w:tcPr>
          <w:p>
            <w:pPr>
              <w:widowControl w:val="0"/>
              <w:spacing w:line="580" w:lineRule="exact"/>
              <w:jc w:val="center"/>
              <w:rPr>
                <w:rFonts w:hint="eastAsia" w:ascii="仿宋" w:hAnsi="仿宋" w:eastAsia="仿宋" w:cs="仿宋"/>
                <w:b/>
                <w:bCs/>
                <w:color w:val="auto"/>
              </w:rPr>
            </w:pPr>
            <w:r>
              <w:rPr>
                <w:rFonts w:hint="eastAsia" w:ascii="仿宋" w:hAnsi="仿宋" w:eastAsia="仿宋" w:cs="仿宋"/>
                <w:b/>
                <w:bCs/>
                <w:color w:val="auto"/>
              </w:rPr>
              <w:t>等级</w:t>
            </w:r>
          </w:p>
        </w:tc>
        <w:tc>
          <w:tcPr>
            <w:tcW w:w="4638" w:type="dxa"/>
            <w:tcBorders>
              <w:top w:val="single" w:color="auto" w:sz="4" w:space="0"/>
              <w:left w:val="nil"/>
              <w:bottom w:val="single" w:color="auto" w:sz="4" w:space="0"/>
              <w:right w:val="single" w:color="auto" w:sz="4" w:space="0"/>
            </w:tcBorders>
            <w:noWrap/>
            <w:vAlign w:val="center"/>
          </w:tcPr>
          <w:p>
            <w:pPr>
              <w:widowControl w:val="0"/>
              <w:spacing w:line="580" w:lineRule="exact"/>
              <w:jc w:val="center"/>
              <w:rPr>
                <w:rFonts w:hint="eastAsia" w:ascii="仿宋" w:hAnsi="仿宋" w:eastAsia="仿宋" w:cs="仿宋"/>
                <w:b/>
                <w:bCs/>
                <w:color w:val="auto"/>
              </w:rPr>
            </w:pPr>
            <w:r>
              <w:rPr>
                <w:rFonts w:hint="eastAsia" w:ascii="仿宋" w:hAnsi="仿宋" w:eastAsia="仿宋" w:cs="仿宋"/>
                <w:b/>
                <w:bCs/>
                <w:color w:val="auto"/>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val="0"/>
              <w:spacing w:line="580" w:lineRule="exact"/>
              <w:jc w:val="center"/>
              <w:rPr>
                <w:rFonts w:hint="eastAsia" w:ascii="仿宋" w:hAnsi="仿宋" w:eastAsia="仿宋" w:cs="仿宋"/>
                <w:color w:val="auto"/>
                <w:lang w:eastAsia="zh-CN"/>
              </w:rPr>
            </w:pPr>
            <w:r>
              <w:rPr>
                <w:rFonts w:hint="eastAsia" w:ascii="仿宋" w:hAnsi="仿宋" w:eastAsia="仿宋" w:cs="仿宋"/>
                <w:color w:val="auto"/>
                <w:lang w:val="en-US" w:eastAsia="zh-CN"/>
              </w:rPr>
              <w:t>1</w:t>
            </w:r>
          </w:p>
        </w:tc>
        <w:tc>
          <w:tcPr>
            <w:tcW w:w="1200" w:type="dxa"/>
            <w:vMerge w:val="continue"/>
            <w:tcBorders>
              <w:left w:val="nil"/>
              <w:right w:val="single" w:color="auto" w:sz="4" w:space="0"/>
            </w:tcBorders>
            <w:noWrap/>
            <w:vAlign w:val="center"/>
          </w:tcPr>
          <w:p>
            <w:pPr>
              <w:widowControl w:val="0"/>
              <w:spacing w:line="580" w:lineRule="exact"/>
              <w:jc w:val="center"/>
              <w:rPr>
                <w:rFonts w:hint="eastAsia" w:ascii="仿宋" w:hAnsi="仿宋" w:eastAsia="仿宋" w:cs="仿宋"/>
                <w:color w:val="auto"/>
              </w:rPr>
            </w:pPr>
          </w:p>
        </w:tc>
        <w:tc>
          <w:tcPr>
            <w:tcW w:w="750" w:type="dxa"/>
            <w:vMerge w:val="continue"/>
            <w:tcBorders>
              <w:left w:val="nil"/>
              <w:right w:val="single" w:color="auto" w:sz="4" w:space="0"/>
            </w:tcBorders>
            <w:noWrap/>
            <w:vAlign w:val="center"/>
          </w:tcPr>
          <w:p>
            <w:pPr>
              <w:widowControl w:val="0"/>
              <w:spacing w:line="580" w:lineRule="exact"/>
              <w:jc w:val="center"/>
              <w:rPr>
                <w:rFonts w:hint="eastAsia" w:ascii="仿宋" w:hAnsi="仿宋" w:eastAsia="仿宋" w:cs="仿宋"/>
                <w:color w:val="auto"/>
              </w:rPr>
            </w:pPr>
          </w:p>
        </w:tc>
        <w:tc>
          <w:tcPr>
            <w:tcW w:w="1404"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default" w:ascii="仿宋" w:hAnsi="仿宋" w:eastAsia="仿宋" w:cs="仿宋"/>
                <w:b/>
                <w:bCs/>
                <w:color w:val="auto"/>
                <w:lang w:val="en-US" w:eastAsia="zh-CN"/>
              </w:rPr>
            </w:pPr>
            <w:r>
              <w:rPr>
                <w:rFonts w:hint="eastAsia" w:ascii="仿宋" w:hAnsi="仿宋" w:eastAsia="仿宋" w:cs="仿宋"/>
                <w:color w:val="auto"/>
                <w:lang w:val="en-US" w:eastAsia="zh-CN"/>
              </w:rPr>
              <w:t>800</w:t>
            </w:r>
          </w:p>
        </w:tc>
        <w:tc>
          <w:tcPr>
            <w:tcW w:w="861"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lang w:eastAsia="zh-CN"/>
              </w:rPr>
              <w:t>中</w:t>
            </w:r>
            <w:r>
              <w:rPr>
                <w:rFonts w:hint="eastAsia" w:ascii="仿宋" w:hAnsi="仿宋" w:eastAsia="仿宋" w:cs="仿宋"/>
                <w:color w:val="auto"/>
                <w:lang w:val="en-US" w:eastAsia="zh-CN"/>
              </w:rPr>
              <w:t>档</w:t>
            </w:r>
            <w:r>
              <w:rPr>
                <w:rFonts w:hint="eastAsia" w:ascii="仿宋" w:hAnsi="仿宋" w:eastAsia="仿宋" w:cs="仿宋"/>
                <w:color w:val="auto"/>
              </w:rPr>
              <w:t>装修</w:t>
            </w:r>
          </w:p>
        </w:tc>
        <w:tc>
          <w:tcPr>
            <w:tcW w:w="4638"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地面瓷片、墙膏、吊顶及墙裙、门窗、水电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val="0"/>
              <w:spacing w:line="580" w:lineRule="exact"/>
              <w:jc w:val="center"/>
              <w:rPr>
                <w:rFonts w:hint="eastAsia" w:ascii="仿宋" w:hAnsi="仿宋" w:eastAsia="仿宋" w:cs="仿宋"/>
                <w:color w:val="auto"/>
                <w:lang w:eastAsia="zh-CN"/>
              </w:rPr>
            </w:pPr>
            <w:r>
              <w:rPr>
                <w:rFonts w:hint="eastAsia" w:ascii="仿宋" w:hAnsi="仿宋" w:eastAsia="仿宋" w:cs="仿宋"/>
                <w:color w:val="auto"/>
                <w:lang w:val="en-US" w:eastAsia="zh-CN"/>
              </w:rPr>
              <w:t>2</w:t>
            </w:r>
          </w:p>
        </w:tc>
        <w:tc>
          <w:tcPr>
            <w:tcW w:w="1200" w:type="dxa"/>
            <w:vMerge w:val="continue"/>
            <w:tcBorders>
              <w:left w:val="nil"/>
              <w:right w:val="single" w:color="auto" w:sz="4" w:space="0"/>
            </w:tcBorders>
            <w:noWrap/>
            <w:vAlign w:val="center"/>
          </w:tcPr>
          <w:p>
            <w:pPr>
              <w:widowControl w:val="0"/>
              <w:spacing w:line="580" w:lineRule="exact"/>
              <w:jc w:val="center"/>
              <w:rPr>
                <w:rFonts w:hint="eastAsia" w:ascii="仿宋" w:hAnsi="仿宋" w:eastAsia="仿宋" w:cs="仿宋"/>
                <w:color w:val="auto"/>
              </w:rPr>
            </w:pPr>
          </w:p>
        </w:tc>
        <w:tc>
          <w:tcPr>
            <w:tcW w:w="750" w:type="dxa"/>
            <w:vMerge w:val="continue"/>
            <w:tcBorders>
              <w:left w:val="nil"/>
              <w:right w:val="single" w:color="auto" w:sz="4" w:space="0"/>
            </w:tcBorders>
            <w:noWrap/>
            <w:vAlign w:val="center"/>
          </w:tcPr>
          <w:p>
            <w:pPr>
              <w:widowControl w:val="0"/>
              <w:spacing w:line="580" w:lineRule="exact"/>
              <w:jc w:val="center"/>
              <w:rPr>
                <w:rFonts w:hint="eastAsia" w:ascii="仿宋" w:hAnsi="仿宋" w:eastAsia="仿宋" w:cs="仿宋"/>
                <w:color w:val="auto"/>
              </w:rPr>
            </w:pPr>
          </w:p>
        </w:tc>
        <w:tc>
          <w:tcPr>
            <w:tcW w:w="1404"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600</w:t>
            </w:r>
          </w:p>
        </w:tc>
        <w:tc>
          <w:tcPr>
            <w:tcW w:w="861"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普通装修</w:t>
            </w:r>
          </w:p>
        </w:tc>
        <w:tc>
          <w:tcPr>
            <w:tcW w:w="4638"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地面瓷片、墙膏、门窗、水电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val="0"/>
              <w:spacing w:line="580" w:lineRule="exact"/>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3</w:t>
            </w:r>
          </w:p>
        </w:tc>
        <w:tc>
          <w:tcPr>
            <w:tcW w:w="1200" w:type="dxa"/>
            <w:vMerge w:val="continue"/>
            <w:tcBorders>
              <w:left w:val="nil"/>
              <w:bottom w:val="single" w:color="auto" w:sz="4" w:space="0"/>
              <w:right w:val="single" w:color="auto" w:sz="4" w:space="0"/>
            </w:tcBorders>
            <w:noWrap/>
            <w:vAlign w:val="center"/>
          </w:tcPr>
          <w:p>
            <w:pPr>
              <w:widowControl w:val="0"/>
              <w:spacing w:line="580" w:lineRule="exact"/>
              <w:jc w:val="center"/>
              <w:rPr>
                <w:rFonts w:hint="eastAsia" w:ascii="仿宋" w:hAnsi="仿宋" w:eastAsia="仿宋" w:cs="仿宋"/>
                <w:color w:val="auto"/>
              </w:rPr>
            </w:pPr>
          </w:p>
        </w:tc>
        <w:tc>
          <w:tcPr>
            <w:tcW w:w="750" w:type="dxa"/>
            <w:vMerge w:val="continue"/>
            <w:tcBorders>
              <w:left w:val="nil"/>
              <w:bottom w:val="single" w:color="auto" w:sz="4" w:space="0"/>
              <w:right w:val="single" w:color="auto" w:sz="4" w:space="0"/>
            </w:tcBorders>
            <w:noWrap/>
            <w:vAlign w:val="center"/>
          </w:tcPr>
          <w:p>
            <w:pPr>
              <w:widowControl w:val="0"/>
              <w:spacing w:line="580" w:lineRule="exact"/>
              <w:jc w:val="center"/>
              <w:rPr>
                <w:rFonts w:hint="eastAsia" w:ascii="仿宋" w:hAnsi="仿宋" w:eastAsia="仿宋" w:cs="仿宋"/>
                <w:color w:val="auto"/>
              </w:rPr>
            </w:pPr>
          </w:p>
        </w:tc>
        <w:tc>
          <w:tcPr>
            <w:tcW w:w="1404"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300</w:t>
            </w:r>
          </w:p>
        </w:tc>
        <w:tc>
          <w:tcPr>
            <w:tcW w:w="861"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简易装修</w:t>
            </w:r>
          </w:p>
        </w:tc>
        <w:tc>
          <w:tcPr>
            <w:tcW w:w="4638"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水泥地面、</w:t>
            </w:r>
            <w:r>
              <w:rPr>
                <w:rFonts w:hint="eastAsia" w:ascii="仿宋" w:hAnsi="仿宋" w:eastAsia="仿宋" w:cs="仿宋"/>
                <w:color w:val="auto"/>
                <w:lang w:val="en-US" w:eastAsia="zh-CN"/>
              </w:rPr>
              <w:t>批灰</w:t>
            </w:r>
            <w:r>
              <w:rPr>
                <w:rFonts w:hint="eastAsia" w:ascii="仿宋" w:hAnsi="仿宋" w:eastAsia="仿宋" w:cs="仿宋"/>
                <w:color w:val="auto"/>
              </w:rPr>
              <w:t>、门窗、水电</w:t>
            </w:r>
          </w:p>
        </w:tc>
      </w:tr>
    </w:tbl>
    <w:p>
      <w:pPr>
        <w:widowControl w:val="0"/>
        <w:spacing w:line="360" w:lineRule="auto"/>
        <w:ind w:firstLine="530" w:firstLineChars="200"/>
        <w:rPr>
          <w:rFonts w:hint="eastAsia" w:ascii="仿宋" w:hAnsi="仿宋" w:eastAsia="仿宋" w:cs="仿宋"/>
          <w:color w:val="auto"/>
          <w:sz w:val="24"/>
        </w:rPr>
      </w:pPr>
      <w:r>
        <w:rPr>
          <w:rFonts w:hint="eastAsia" w:ascii="仿宋" w:hAnsi="仿宋" w:eastAsia="仿宋" w:cs="仿宋"/>
          <w:color w:val="auto"/>
          <w:sz w:val="24"/>
        </w:rPr>
        <w:t>备注：上述各项预估值是指假设咨询对象在室内普通装修补偿价值,若装修档次不符按照评估公司现场评估为准。</w:t>
      </w:r>
    </w:p>
    <w:p>
      <w:pPr>
        <w:widowControl w:val="0"/>
        <w:numPr>
          <w:ilvl w:val="255"/>
          <w:numId w:val="0"/>
        </w:numPr>
        <w:spacing w:after="156" w:line="580" w:lineRule="exact"/>
        <w:rPr>
          <w:rFonts w:hint="eastAsia" w:ascii="仿宋" w:hAnsi="仿宋" w:eastAsia="仿宋" w:cs="仿宋"/>
          <w:b/>
          <w:bCs/>
          <w:color w:val="auto"/>
          <w:sz w:val="24"/>
          <w:lang w:val="en-US" w:eastAsia="zh-CN"/>
        </w:rPr>
      </w:pPr>
      <w:r>
        <w:rPr>
          <w:rFonts w:hint="eastAsia" w:ascii="仿宋" w:hAnsi="仿宋" w:eastAsia="仿宋" w:cs="仿宋"/>
          <w:b/>
          <w:bCs/>
          <w:color w:val="auto"/>
          <w:sz w:val="24"/>
        </w:rPr>
        <w:t>四、简易附属用房及养殖场补偿参考标准</w:t>
      </w:r>
      <w:r>
        <w:rPr>
          <w:rFonts w:hint="eastAsia" w:ascii="仿宋" w:hAnsi="仿宋" w:eastAsia="仿宋" w:cs="仿宋"/>
          <w:b/>
          <w:bCs/>
          <w:color w:val="auto"/>
          <w:sz w:val="24"/>
          <w:lang w:eastAsia="zh-CN"/>
        </w:rPr>
        <w:t>（</w:t>
      </w:r>
      <w:r>
        <w:rPr>
          <w:rFonts w:hint="eastAsia" w:ascii="仿宋" w:hAnsi="仿宋" w:eastAsia="仿宋" w:cs="仿宋"/>
          <w:b/>
          <w:bCs/>
          <w:color w:val="auto"/>
          <w:sz w:val="24"/>
          <w:lang w:val="en-US" w:eastAsia="zh-CN"/>
        </w:rPr>
        <w:t>占地面积由征地部门按原地类给予补偿）</w:t>
      </w:r>
    </w:p>
    <w:tbl>
      <w:tblPr>
        <w:tblStyle w:val="9"/>
        <w:tblW w:w="8998" w:type="dxa"/>
        <w:jc w:val="center"/>
        <w:tblLayout w:type="fixed"/>
        <w:tblCellMar>
          <w:top w:w="0" w:type="dxa"/>
          <w:left w:w="108" w:type="dxa"/>
          <w:bottom w:w="0" w:type="dxa"/>
          <w:right w:w="108" w:type="dxa"/>
        </w:tblCellMar>
      </w:tblPr>
      <w:tblGrid>
        <w:gridCol w:w="1268"/>
        <w:gridCol w:w="4232"/>
        <w:gridCol w:w="799"/>
        <w:gridCol w:w="1670"/>
        <w:gridCol w:w="1029"/>
      </w:tblGrid>
      <w:tr>
        <w:tblPrEx>
          <w:tblCellMar>
            <w:top w:w="0" w:type="dxa"/>
            <w:left w:w="108" w:type="dxa"/>
            <w:bottom w:w="0" w:type="dxa"/>
            <w:right w:w="108" w:type="dxa"/>
          </w:tblCellMar>
        </w:tblPrEx>
        <w:trPr>
          <w:trHeight w:val="493" w:hRule="atLeast"/>
          <w:jc w:val="center"/>
        </w:trPr>
        <w:tc>
          <w:tcPr>
            <w:tcW w:w="1268" w:type="dxa"/>
            <w:tcBorders>
              <w:top w:val="single" w:color="auto" w:sz="6" w:space="0"/>
              <w:left w:val="single" w:color="auto" w:sz="6" w:space="0"/>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b/>
                <w:bCs/>
                <w:color w:val="auto"/>
              </w:rPr>
            </w:pPr>
            <w:r>
              <w:rPr>
                <w:rFonts w:hint="eastAsia" w:ascii="仿宋" w:hAnsi="仿宋" w:eastAsia="仿宋" w:cs="仿宋"/>
                <w:b/>
                <w:bCs/>
                <w:color w:val="auto"/>
              </w:rPr>
              <w:t>序号</w:t>
            </w:r>
          </w:p>
        </w:tc>
        <w:tc>
          <w:tcPr>
            <w:tcW w:w="4232" w:type="dxa"/>
            <w:tcBorders>
              <w:top w:val="single" w:color="auto" w:sz="6" w:space="0"/>
              <w:left w:val="nil"/>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b/>
                <w:bCs/>
                <w:color w:val="auto"/>
              </w:rPr>
            </w:pPr>
            <w:r>
              <w:rPr>
                <w:rFonts w:hint="eastAsia" w:ascii="仿宋" w:hAnsi="仿宋" w:eastAsia="仿宋" w:cs="仿宋"/>
                <w:b/>
                <w:bCs/>
                <w:color w:val="auto"/>
              </w:rPr>
              <w:t>项目名称</w:t>
            </w:r>
          </w:p>
        </w:tc>
        <w:tc>
          <w:tcPr>
            <w:tcW w:w="799" w:type="dxa"/>
            <w:tcBorders>
              <w:top w:val="single" w:color="auto" w:sz="6" w:space="0"/>
              <w:left w:val="nil"/>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b/>
                <w:bCs/>
                <w:color w:val="auto"/>
              </w:rPr>
            </w:pPr>
            <w:r>
              <w:rPr>
                <w:rFonts w:hint="eastAsia" w:ascii="仿宋" w:hAnsi="仿宋" w:eastAsia="仿宋" w:cs="仿宋"/>
                <w:b/>
                <w:bCs/>
                <w:color w:val="auto"/>
              </w:rPr>
              <w:t>单位</w:t>
            </w:r>
          </w:p>
        </w:tc>
        <w:tc>
          <w:tcPr>
            <w:tcW w:w="1670" w:type="dxa"/>
            <w:tcBorders>
              <w:top w:val="single" w:color="auto" w:sz="6" w:space="0"/>
              <w:left w:val="nil"/>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b/>
                <w:bCs/>
                <w:color w:val="auto"/>
              </w:rPr>
            </w:pPr>
            <w:r>
              <w:rPr>
                <w:rFonts w:hint="eastAsia" w:ascii="仿宋" w:hAnsi="仿宋" w:eastAsia="仿宋" w:cs="仿宋"/>
                <w:b/>
                <w:bCs/>
                <w:color w:val="auto"/>
              </w:rPr>
              <w:t>单价（元）</w:t>
            </w:r>
          </w:p>
        </w:tc>
        <w:tc>
          <w:tcPr>
            <w:tcW w:w="1029" w:type="dxa"/>
            <w:tcBorders>
              <w:top w:val="single" w:color="auto" w:sz="6" w:space="0"/>
              <w:left w:val="nil"/>
              <w:bottom w:val="single" w:color="auto" w:sz="4" w:space="0"/>
              <w:right w:val="single" w:color="auto" w:sz="6" w:space="0"/>
            </w:tcBorders>
            <w:noWrap/>
            <w:vAlign w:val="center"/>
          </w:tcPr>
          <w:p>
            <w:pPr>
              <w:widowControl w:val="0"/>
              <w:spacing w:line="240" w:lineRule="auto"/>
              <w:jc w:val="center"/>
              <w:rPr>
                <w:rFonts w:hint="eastAsia" w:ascii="仿宋" w:hAnsi="仿宋" w:eastAsia="仿宋" w:cs="仿宋"/>
                <w:b/>
                <w:bCs/>
                <w:color w:val="auto"/>
              </w:rPr>
            </w:pPr>
            <w:r>
              <w:rPr>
                <w:rFonts w:hint="eastAsia" w:ascii="仿宋" w:hAnsi="仿宋" w:eastAsia="仿宋" w:cs="仿宋"/>
                <w:b/>
                <w:bCs/>
                <w:color w:val="auto"/>
              </w:rPr>
              <w:t>备 注</w:t>
            </w:r>
          </w:p>
        </w:tc>
      </w:tr>
      <w:tr>
        <w:tblPrEx>
          <w:tblCellMar>
            <w:top w:w="0" w:type="dxa"/>
            <w:left w:w="108" w:type="dxa"/>
            <w:bottom w:w="0" w:type="dxa"/>
            <w:right w:w="108" w:type="dxa"/>
          </w:tblCellMar>
        </w:tblPrEx>
        <w:trPr>
          <w:trHeight w:val="493" w:hRule="atLeast"/>
          <w:jc w:val="center"/>
        </w:trPr>
        <w:tc>
          <w:tcPr>
            <w:tcW w:w="1268" w:type="dxa"/>
            <w:tcBorders>
              <w:top w:val="single" w:color="auto" w:sz="6" w:space="0"/>
              <w:left w:val="single" w:color="auto" w:sz="6" w:space="0"/>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1</w:t>
            </w:r>
          </w:p>
        </w:tc>
        <w:tc>
          <w:tcPr>
            <w:tcW w:w="4232" w:type="dxa"/>
            <w:tcBorders>
              <w:top w:val="single" w:color="auto" w:sz="6" w:space="0"/>
              <w:left w:val="nil"/>
              <w:bottom w:val="single" w:color="auto" w:sz="6" w:space="0"/>
              <w:right w:val="single" w:color="auto" w:sz="6" w:space="0"/>
            </w:tcBorders>
            <w:noWrap/>
            <w:vAlign w:val="center"/>
          </w:tcPr>
          <w:p>
            <w:pPr>
              <w:widowControl w:val="0"/>
              <w:spacing w:line="240" w:lineRule="auto"/>
              <w:jc w:val="left"/>
              <w:rPr>
                <w:rFonts w:hint="eastAsia" w:ascii="仿宋" w:hAnsi="仿宋" w:eastAsia="仿宋" w:cs="仿宋"/>
                <w:color w:val="auto"/>
              </w:rPr>
            </w:pPr>
            <w:r>
              <w:rPr>
                <w:rFonts w:hint="eastAsia" w:ascii="仿宋" w:hAnsi="仿宋" w:eastAsia="仿宋" w:cs="仿宋"/>
                <w:color w:val="auto"/>
              </w:rPr>
              <w:t>红砖铁皮（石棉瓦）棚</w:t>
            </w:r>
          </w:p>
        </w:tc>
        <w:tc>
          <w:tcPr>
            <w:tcW w:w="799" w:type="dxa"/>
            <w:tcBorders>
              <w:top w:val="single" w:color="auto" w:sz="6" w:space="0"/>
              <w:left w:val="nil"/>
              <w:bottom w:val="single" w:color="auto" w:sz="6" w:space="0"/>
              <w:right w:val="single" w:color="auto" w:sz="6" w:space="0"/>
            </w:tcBorders>
            <w:noWrap/>
            <w:vAlign w:val="center"/>
          </w:tcPr>
          <w:p>
            <w:pPr>
              <w:spacing w:line="240" w:lineRule="auto"/>
              <w:jc w:val="center"/>
              <w:rPr>
                <w:rFonts w:hint="eastAsia" w:ascii="仿宋" w:hAnsi="仿宋" w:eastAsia="仿宋" w:cs="仿宋"/>
              </w:rPr>
            </w:pPr>
            <w:r>
              <w:rPr>
                <w:rFonts w:hint="eastAsia" w:ascii="仿宋" w:hAnsi="仿宋" w:eastAsia="仿宋" w:cs="仿宋"/>
                <w:color w:val="auto"/>
              </w:rPr>
              <w:t>㎡</w:t>
            </w:r>
          </w:p>
        </w:tc>
        <w:tc>
          <w:tcPr>
            <w:tcW w:w="1670" w:type="dxa"/>
            <w:tcBorders>
              <w:top w:val="single" w:color="auto" w:sz="6" w:space="0"/>
              <w:left w:val="nil"/>
              <w:bottom w:val="single" w:color="auto" w:sz="6"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500</w:t>
            </w:r>
          </w:p>
        </w:tc>
        <w:tc>
          <w:tcPr>
            <w:tcW w:w="1029"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493" w:hRule="atLeast"/>
          <w:jc w:val="center"/>
        </w:trPr>
        <w:tc>
          <w:tcPr>
            <w:tcW w:w="1268" w:type="dxa"/>
            <w:tcBorders>
              <w:top w:val="single" w:color="auto" w:sz="6" w:space="0"/>
              <w:left w:val="single" w:color="auto" w:sz="6" w:space="0"/>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2</w:t>
            </w:r>
          </w:p>
        </w:tc>
        <w:tc>
          <w:tcPr>
            <w:tcW w:w="4232" w:type="dxa"/>
            <w:tcBorders>
              <w:top w:val="single" w:color="auto" w:sz="6" w:space="0"/>
              <w:left w:val="nil"/>
              <w:bottom w:val="single" w:color="auto" w:sz="6" w:space="0"/>
              <w:right w:val="single" w:color="auto" w:sz="6" w:space="0"/>
            </w:tcBorders>
            <w:noWrap/>
            <w:vAlign w:val="center"/>
          </w:tcPr>
          <w:p>
            <w:pPr>
              <w:widowControl w:val="0"/>
              <w:spacing w:line="240" w:lineRule="auto"/>
              <w:jc w:val="left"/>
              <w:rPr>
                <w:rFonts w:hint="eastAsia" w:ascii="仿宋" w:hAnsi="仿宋" w:eastAsia="仿宋" w:cs="仿宋"/>
                <w:color w:val="auto"/>
              </w:rPr>
            </w:pPr>
            <w:r>
              <w:rPr>
                <w:rFonts w:hint="eastAsia" w:ascii="仿宋" w:hAnsi="仿宋" w:eastAsia="仿宋" w:cs="仿宋"/>
                <w:color w:val="auto"/>
              </w:rPr>
              <w:t>三栏（单砖、高度1.2m以下）</w:t>
            </w:r>
          </w:p>
        </w:tc>
        <w:tc>
          <w:tcPr>
            <w:tcW w:w="799" w:type="dxa"/>
            <w:tcBorders>
              <w:top w:val="single" w:color="auto" w:sz="6" w:space="0"/>
              <w:left w:val="nil"/>
              <w:bottom w:val="single" w:color="auto" w:sz="6" w:space="0"/>
              <w:right w:val="single" w:color="auto" w:sz="6" w:space="0"/>
            </w:tcBorders>
            <w:noWrap/>
            <w:vAlign w:val="center"/>
          </w:tcPr>
          <w:p>
            <w:pPr>
              <w:spacing w:line="240" w:lineRule="auto"/>
              <w:jc w:val="center"/>
              <w:rPr>
                <w:rFonts w:hint="eastAsia" w:ascii="仿宋" w:hAnsi="仿宋" w:eastAsia="仿宋" w:cs="仿宋"/>
              </w:rPr>
            </w:pPr>
            <w:r>
              <w:rPr>
                <w:rFonts w:hint="eastAsia" w:ascii="仿宋" w:hAnsi="仿宋" w:eastAsia="仿宋" w:cs="仿宋"/>
                <w:color w:val="auto"/>
              </w:rPr>
              <w:t>㎡</w:t>
            </w:r>
          </w:p>
        </w:tc>
        <w:tc>
          <w:tcPr>
            <w:tcW w:w="1670" w:type="dxa"/>
            <w:tcBorders>
              <w:top w:val="single" w:color="auto" w:sz="6" w:space="0"/>
              <w:left w:val="nil"/>
              <w:bottom w:val="single" w:color="auto" w:sz="6"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400</w:t>
            </w:r>
          </w:p>
        </w:tc>
        <w:tc>
          <w:tcPr>
            <w:tcW w:w="1029"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493" w:hRule="atLeast"/>
          <w:jc w:val="center"/>
        </w:trPr>
        <w:tc>
          <w:tcPr>
            <w:tcW w:w="1268" w:type="dxa"/>
            <w:tcBorders>
              <w:top w:val="single" w:color="auto" w:sz="6" w:space="0"/>
              <w:left w:val="single" w:color="auto" w:sz="6" w:space="0"/>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3</w:t>
            </w:r>
          </w:p>
        </w:tc>
        <w:tc>
          <w:tcPr>
            <w:tcW w:w="4232" w:type="dxa"/>
            <w:tcBorders>
              <w:top w:val="single" w:color="auto" w:sz="6" w:space="0"/>
              <w:left w:val="nil"/>
              <w:bottom w:val="single" w:color="auto" w:sz="6" w:space="0"/>
              <w:right w:val="single" w:color="auto" w:sz="6" w:space="0"/>
            </w:tcBorders>
            <w:noWrap/>
            <w:vAlign w:val="center"/>
          </w:tcPr>
          <w:p>
            <w:pPr>
              <w:widowControl w:val="0"/>
              <w:spacing w:line="240" w:lineRule="auto"/>
              <w:jc w:val="left"/>
              <w:rPr>
                <w:rFonts w:hint="eastAsia" w:ascii="仿宋" w:hAnsi="仿宋" w:eastAsia="仿宋" w:cs="仿宋"/>
                <w:color w:val="auto"/>
              </w:rPr>
            </w:pPr>
            <w:r>
              <w:rPr>
                <w:rFonts w:hint="eastAsia" w:ascii="仿宋" w:hAnsi="仿宋" w:eastAsia="仿宋" w:cs="仿宋"/>
                <w:color w:val="auto"/>
              </w:rPr>
              <w:t>三栏（单砖、高度1.2m以上）</w:t>
            </w:r>
          </w:p>
        </w:tc>
        <w:tc>
          <w:tcPr>
            <w:tcW w:w="799" w:type="dxa"/>
            <w:tcBorders>
              <w:top w:val="single" w:color="auto" w:sz="6" w:space="0"/>
              <w:left w:val="nil"/>
              <w:bottom w:val="single" w:color="auto" w:sz="6" w:space="0"/>
              <w:right w:val="single" w:color="auto" w:sz="6" w:space="0"/>
            </w:tcBorders>
            <w:noWrap/>
            <w:vAlign w:val="center"/>
          </w:tcPr>
          <w:p>
            <w:pPr>
              <w:spacing w:line="240" w:lineRule="auto"/>
              <w:jc w:val="center"/>
              <w:rPr>
                <w:rFonts w:hint="eastAsia" w:ascii="仿宋" w:hAnsi="仿宋" w:eastAsia="仿宋" w:cs="仿宋"/>
              </w:rPr>
            </w:pPr>
            <w:r>
              <w:rPr>
                <w:rFonts w:hint="eastAsia" w:ascii="仿宋" w:hAnsi="仿宋" w:eastAsia="仿宋" w:cs="仿宋"/>
                <w:color w:val="auto"/>
              </w:rPr>
              <w:t>㎡</w:t>
            </w:r>
          </w:p>
        </w:tc>
        <w:tc>
          <w:tcPr>
            <w:tcW w:w="1670" w:type="dxa"/>
            <w:tcBorders>
              <w:top w:val="single" w:color="auto" w:sz="6" w:space="0"/>
              <w:left w:val="nil"/>
              <w:bottom w:val="single" w:color="auto" w:sz="6"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450</w:t>
            </w:r>
          </w:p>
        </w:tc>
        <w:tc>
          <w:tcPr>
            <w:tcW w:w="1029"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493" w:hRule="atLeast"/>
          <w:jc w:val="center"/>
        </w:trPr>
        <w:tc>
          <w:tcPr>
            <w:tcW w:w="1268" w:type="dxa"/>
            <w:tcBorders>
              <w:top w:val="single" w:color="auto" w:sz="6" w:space="0"/>
              <w:left w:val="single" w:color="auto" w:sz="6" w:space="0"/>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4</w:t>
            </w:r>
          </w:p>
        </w:tc>
        <w:tc>
          <w:tcPr>
            <w:tcW w:w="4232" w:type="dxa"/>
            <w:tcBorders>
              <w:top w:val="single" w:color="auto" w:sz="6" w:space="0"/>
              <w:left w:val="nil"/>
              <w:bottom w:val="single" w:color="auto" w:sz="6" w:space="0"/>
              <w:right w:val="single" w:color="auto" w:sz="6" w:space="0"/>
            </w:tcBorders>
            <w:noWrap/>
            <w:vAlign w:val="center"/>
          </w:tcPr>
          <w:p>
            <w:pPr>
              <w:widowControl w:val="0"/>
              <w:spacing w:line="240" w:lineRule="auto"/>
              <w:jc w:val="left"/>
              <w:rPr>
                <w:rFonts w:hint="eastAsia" w:ascii="仿宋" w:hAnsi="仿宋" w:eastAsia="仿宋" w:cs="仿宋"/>
                <w:color w:val="auto"/>
              </w:rPr>
            </w:pPr>
            <w:r>
              <w:rPr>
                <w:rFonts w:hint="eastAsia" w:ascii="仿宋" w:hAnsi="仿宋" w:eastAsia="仿宋" w:cs="仿宋"/>
                <w:color w:val="auto"/>
              </w:rPr>
              <w:t>三栏（18墙、高度1.2m以下）</w:t>
            </w:r>
          </w:p>
        </w:tc>
        <w:tc>
          <w:tcPr>
            <w:tcW w:w="799" w:type="dxa"/>
            <w:tcBorders>
              <w:top w:val="single" w:color="auto" w:sz="6" w:space="0"/>
              <w:left w:val="nil"/>
              <w:bottom w:val="single" w:color="auto" w:sz="6" w:space="0"/>
              <w:right w:val="single" w:color="auto" w:sz="6" w:space="0"/>
            </w:tcBorders>
            <w:noWrap/>
            <w:vAlign w:val="center"/>
          </w:tcPr>
          <w:p>
            <w:pPr>
              <w:spacing w:line="240" w:lineRule="auto"/>
              <w:jc w:val="center"/>
              <w:rPr>
                <w:rFonts w:hint="eastAsia" w:ascii="仿宋" w:hAnsi="仿宋" w:eastAsia="仿宋" w:cs="仿宋"/>
              </w:rPr>
            </w:pPr>
            <w:r>
              <w:rPr>
                <w:rFonts w:hint="eastAsia" w:ascii="仿宋" w:hAnsi="仿宋" w:eastAsia="仿宋" w:cs="仿宋"/>
                <w:color w:val="auto"/>
              </w:rPr>
              <w:t>㎡</w:t>
            </w:r>
          </w:p>
        </w:tc>
        <w:tc>
          <w:tcPr>
            <w:tcW w:w="1670" w:type="dxa"/>
            <w:tcBorders>
              <w:top w:val="single" w:color="auto" w:sz="6" w:space="0"/>
              <w:left w:val="nil"/>
              <w:bottom w:val="single" w:color="auto" w:sz="6"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500</w:t>
            </w:r>
          </w:p>
        </w:tc>
        <w:tc>
          <w:tcPr>
            <w:tcW w:w="1029"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493" w:hRule="atLeast"/>
          <w:jc w:val="center"/>
        </w:trPr>
        <w:tc>
          <w:tcPr>
            <w:tcW w:w="1268" w:type="dxa"/>
            <w:tcBorders>
              <w:top w:val="single" w:color="auto" w:sz="6" w:space="0"/>
              <w:left w:val="single" w:color="auto" w:sz="6" w:space="0"/>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5</w:t>
            </w:r>
          </w:p>
        </w:tc>
        <w:tc>
          <w:tcPr>
            <w:tcW w:w="4232" w:type="dxa"/>
            <w:tcBorders>
              <w:top w:val="single" w:color="auto" w:sz="6" w:space="0"/>
              <w:left w:val="nil"/>
              <w:bottom w:val="single" w:color="auto" w:sz="6" w:space="0"/>
              <w:right w:val="single" w:color="auto" w:sz="6" w:space="0"/>
            </w:tcBorders>
            <w:noWrap/>
            <w:vAlign w:val="center"/>
          </w:tcPr>
          <w:p>
            <w:pPr>
              <w:widowControl w:val="0"/>
              <w:spacing w:line="240" w:lineRule="auto"/>
              <w:jc w:val="left"/>
              <w:rPr>
                <w:rFonts w:hint="eastAsia" w:ascii="仿宋" w:hAnsi="仿宋" w:eastAsia="仿宋" w:cs="仿宋"/>
                <w:color w:val="auto"/>
              </w:rPr>
            </w:pPr>
            <w:r>
              <w:rPr>
                <w:rFonts w:hint="eastAsia" w:ascii="仿宋" w:hAnsi="仿宋" w:eastAsia="仿宋" w:cs="仿宋"/>
                <w:color w:val="auto"/>
              </w:rPr>
              <w:t>三栏（18墙、高度1.2m以上）</w:t>
            </w:r>
          </w:p>
        </w:tc>
        <w:tc>
          <w:tcPr>
            <w:tcW w:w="799" w:type="dxa"/>
            <w:tcBorders>
              <w:top w:val="single" w:color="auto" w:sz="6" w:space="0"/>
              <w:left w:val="nil"/>
              <w:bottom w:val="single" w:color="auto" w:sz="6" w:space="0"/>
              <w:right w:val="single" w:color="auto" w:sz="6" w:space="0"/>
            </w:tcBorders>
            <w:noWrap/>
            <w:vAlign w:val="center"/>
          </w:tcPr>
          <w:p>
            <w:pPr>
              <w:spacing w:line="240" w:lineRule="auto"/>
              <w:jc w:val="center"/>
              <w:rPr>
                <w:rFonts w:hint="eastAsia" w:ascii="仿宋" w:hAnsi="仿宋" w:eastAsia="仿宋" w:cs="仿宋"/>
              </w:rPr>
            </w:pPr>
            <w:r>
              <w:rPr>
                <w:rFonts w:hint="eastAsia" w:ascii="仿宋" w:hAnsi="仿宋" w:eastAsia="仿宋" w:cs="仿宋"/>
                <w:color w:val="auto"/>
              </w:rPr>
              <w:t>㎡</w:t>
            </w:r>
          </w:p>
        </w:tc>
        <w:tc>
          <w:tcPr>
            <w:tcW w:w="1670" w:type="dxa"/>
            <w:tcBorders>
              <w:top w:val="single" w:color="auto" w:sz="6" w:space="0"/>
              <w:left w:val="nil"/>
              <w:bottom w:val="single" w:color="auto" w:sz="6"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550</w:t>
            </w:r>
          </w:p>
        </w:tc>
        <w:tc>
          <w:tcPr>
            <w:tcW w:w="1029"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493" w:hRule="atLeast"/>
          <w:jc w:val="center"/>
        </w:trPr>
        <w:tc>
          <w:tcPr>
            <w:tcW w:w="1268" w:type="dxa"/>
            <w:tcBorders>
              <w:top w:val="single" w:color="auto" w:sz="6" w:space="0"/>
              <w:left w:val="single" w:color="auto" w:sz="6" w:space="0"/>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6</w:t>
            </w:r>
          </w:p>
        </w:tc>
        <w:tc>
          <w:tcPr>
            <w:tcW w:w="4232" w:type="dxa"/>
            <w:tcBorders>
              <w:top w:val="single" w:color="auto" w:sz="6" w:space="0"/>
              <w:left w:val="nil"/>
              <w:bottom w:val="single" w:color="auto" w:sz="6" w:space="0"/>
              <w:right w:val="single" w:color="auto" w:sz="6" w:space="0"/>
            </w:tcBorders>
            <w:noWrap/>
            <w:vAlign w:val="center"/>
          </w:tcPr>
          <w:p>
            <w:pPr>
              <w:widowControl w:val="0"/>
              <w:spacing w:line="240" w:lineRule="auto"/>
              <w:jc w:val="left"/>
              <w:rPr>
                <w:rFonts w:hint="eastAsia" w:ascii="仿宋" w:hAnsi="仿宋" w:eastAsia="仿宋" w:cs="仿宋"/>
                <w:color w:val="auto"/>
              </w:rPr>
            </w:pPr>
            <w:r>
              <w:rPr>
                <w:rFonts w:hint="eastAsia" w:ascii="仿宋" w:hAnsi="仿宋" w:eastAsia="仿宋" w:cs="仿宋"/>
                <w:color w:val="auto"/>
              </w:rPr>
              <w:t>无砖铁皮棚（高度2m以下）</w:t>
            </w:r>
          </w:p>
        </w:tc>
        <w:tc>
          <w:tcPr>
            <w:tcW w:w="799" w:type="dxa"/>
            <w:tcBorders>
              <w:top w:val="single" w:color="auto" w:sz="6" w:space="0"/>
              <w:left w:val="nil"/>
              <w:bottom w:val="single" w:color="auto" w:sz="6" w:space="0"/>
              <w:right w:val="single" w:color="auto" w:sz="6" w:space="0"/>
            </w:tcBorders>
            <w:noWrap/>
            <w:vAlign w:val="center"/>
          </w:tcPr>
          <w:p>
            <w:pPr>
              <w:spacing w:line="240" w:lineRule="auto"/>
              <w:jc w:val="center"/>
              <w:rPr>
                <w:rFonts w:hint="eastAsia" w:ascii="仿宋" w:hAnsi="仿宋" w:eastAsia="仿宋" w:cs="仿宋"/>
              </w:rPr>
            </w:pPr>
            <w:r>
              <w:rPr>
                <w:rFonts w:hint="eastAsia" w:ascii="仿宋" w:hAnsi="仿宋" w:eastAsia="仿宋" w:cs="仿宋"/>
                <w:color w:val="auto"/>
              </w:rPr>
              <w:t>㎡</w:t>
            </w:r>
          </w:p>
        </w:tc>
        <w:tc>
          <w:tcPr>
            <w:tcW w:w="1670" w:type="dxa"/>
            <w:tcBorders>
              <w:top w:val="single" w:color="auto" w:sz="6" w:space="0"/>
              <w:left w:val="nil"/>
              <w:bottom w:val="single" w:color="auto" w:sz="6"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150</w:t>
            </w:r>
          </w:p>
        </w:tc>
        <w:tc>
          <w:tcPr>
            <w:tcW w:w="1029"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493" w:hRule="atLeast"/>
          <w:jc w:val="center"/>
        </w:trPr>
        <w:tc>
          <w:tcPr>
            <w:tcW w:w="1268" w:type="dxa"/>
            <w:tcBorders>
              <w:top w:val="single" w:color="auto" w:sz="6" w:space="0"/>
              <w:left w:val="single" w:color="auto" w:sz="6" w:space="0"/>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7</w:t>
            </w:r>
          </w:p>
        </w:tc>
        <w:tc>
          <w:tcPr>
            <w:tcW w:w="4232" w:type="dxa"/>
            <w:tcBorders>
              <w:top w:val="single" w:color="auto" w:sz="6" w:space="0"/>
              <w:left w:val="nil"/>
              <w:bottom w:val="single" w:color="auto" w:sz="6" w:space="0"/>
              <w:right w:val="single" w:color="auto" w:sz="6" w:space="0"/>
            </w:tcBorders>
            <w:noWrap/>
            <w:vAlign w:val="center"/>
          </w:tcPr>
          <w:p>
            <w:pPr>
              <w:widowControl w:val="0"/>
              <w:spacing w:line="240" w:lineRule="auto"/>
              <w:jc w:val="left"/>
              <w:rPr>
                <w:rFonts w:hint="eastAsia" w:ascii="仿宋" w:hAnsi="仿宋" w:eastAsia="仿宋" w:cs="仿宋"/>
                <w:color w:val="auto"/>
              </w:rPr>
            </w:pPr>
            <w:r>
              <w:rPr>
                <w:rFonts w:hint="eastAsia" w:ascii="仿宋" w:hAnsi="仿宋" w:eastAsia="仿宋" w:cs="仿宋"/>
                <w:color w:val="auto"/>
              </w:rPr>
              <w:t>无砖铁皮棚（高度2m以上）</w:t>
            </w:r>
          </w:p>
        </w:tc>
        <w:tc>
          <w:tcPr>
            <w:tcW w:w="799" w:type="dxa"/>
            <w:tcBorders>
              <w:top w:val="single" w:color="auto" w:sz="6" w:space="0"/>
              <w:left w:val="nil"/>
              <w:bottom w:val="single" w:color="auto" w:sz="6" w:space="0"/>
              <w:right w:val="single" w:color="auto" w:sz="6" w:space="0"/>
            </w:tcBorders>
            <w:noWrap/>
            <w:vAlign w:val="center"/>
          </w:tcPr>
          <w:p>
            <w:pPr>
              <w:spacing w:line="240" w:lineRule="auto"/>
              <w:jc w:val="center"/>
              <w:rPr>
                <w:rFonts w:hint="eastAsia" w:ascii="仿宋" w:hAnsi="仿宋" w:eastAsia="仿宋" w:cs="仿宋"/>
              </w:rPr>
            </w:pPr>
            <w:r>
              <w:rPr>
                <w:rFonts w:hint="eastAsia" w:ascii="仿宋" w:hAnsi="仿宋" w:eastAsia="仿宋" w:cs="仿宋"/>
                <w:color w:val="auto"/>
              </w:rPr>
              <w:t>㎡</w:t>
            </w:r>
          </w:p>
        </w:tc>
        <w:tc>
          <w:tcPr>
            <w:tcW w:w="1670" w:type="dxa"/>
            <w:tcBorders>
              <w:top w:val="single" w:color="auto" w:sz="6" w:space="0"/>
              <w:left w:val="nil"/>
              <w:bottom w:val="single" w:color="auto" w:sz="6"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200</w:t>
            </w:r>
          </w:p>
        </w:tc>
        <w:tc>
          <w:tcPr>
            <w:tcW w:w="1029"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493" w:hRule="atLeast"/>
          <w:jc w:val="center"/>
        </w:trPr>
        <w:tc>
          <w:tcPr>
            <w:tcW w:w="1268" w:type="dxa"/>
            <w:tcBorders>
              <w:top w:val="single" w:color="auto" w:sz="6" w:space="0"/>
              <w:left w:val="single" w:color="auto" w:sz="6" w:space="0"/>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8</w:t>
            </w:r>
          </w:p>
        </w:tc>
        <w:tc>
          <w:tcPr>
            <w:tcW w:w="4232" w:type="dxa"/>
            <w:tcBorders>
              <w:top w:val="single" w:color="auto" w:sz="6" w:space="0"/>
              <w:left w:val="nil"/>
              <w:bottom w:val="single" w:color="auto" w:sz="6" w:space="0"/>
              <w:right w:val="single" w:color="auto" w:sz="6" w:space="0"/>
            </w:tcBorders>
            <w:noWrap/>
            <w:vAlign w:val="center"/>
          </w:tcPr>
          <w:p>
            <w:pPr>
              <w:widowControl w:val="0"/>
              <w:spacing w:line="240" w:lineRule="auto"/>
              <w:jc w:val="left"/>
              <w:rPr>
                <w:rFonts w:hint="eastAsia" w:ascii="仿宋" w:hAnsi="仿宋" w:eastAsia="仿宋" w:cs="仿宋"/>
                <w:color w:val="auto"/>
              </w:rPr>
            </w:pPr>
            <w:r>
              <w:rPr>
                <w:rFonts w:hint="eastAsia" w:ascii="仿宋" w:hAnsi="仿宋" w:eastAsia="仿宋" w:cs="仿宋"/>
                <w:color w:val="auto"/>
              </w:rPr>
              <w:t>简易棚房（高度2m以下）</w:t>
            </w:r>
          </w:p>
        </w:tc>
        <w:tc>
          <w:tcPr>
            <w:tcW w:w="799" w:type="dxa"/>
            <w:tcBorders>
              <w:top w:val="single" w:color="auto" w:sz="6" w:space="0"/>
              <w:left w:val="nil"/>
              <w:bottom w:val="single" w:color="auto" w:sz="6" w:space="0"/>
              <w:right w:val="single" w:color="auto" w:sz="6" w:space="0"/>
            </w:tcBorders>
            <w:noWrap/>
            <w:vAlign w:val="center"/>
          </w:tcPr>
          <w:p>
            <w:pPr>
              <w:spacing w:line="240" w:lineRule="auto"/>
              <w:jc w:val="center"/>
              <w:rPr>
                <w:rFonts w:hint="eastAsia" w:ascii="仿宋" w:hAnsi="仿宋" w:eastAsia="仿宋" w:cs="仿宋"/>
              </w:rPr>
            </w:pPr>
            <w:r>
              <w:rPr>
                <w:rFonts w:hint="eastAsia" w:ascii="仿宋" w:hAnsi="仿宋" w:eastAsia="仿宋" w:cs="仿宋"/>
                <w:color w:val="auto"/>
              </w:rPr>
              <w:t>㎡</w:t>
            </w:r>
          </w:p>
        </w:tc>
        <w:tc>
          <w:tcPr>
            <w:tcW w:w="1670" w:type="dxa"/>
            <w:tcBorders>
              <w:top w:val="single" w:color="auto" w:sz="6" w:space="0"/>
              <w:left w:val="nil"/>
              <w:bottom w:val="single" w:color="auto" w:sz="6"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100</w:t>
            </w:r>
          </w:p>
        </w:tc>
        <w:tc>
          <w:tcPr>
            <w:tcW w:w="1029"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493" w:hRule="atLeast"/>
          <w:jc w:val="center"/>
        </w:trPr>
        <w:tc>
          <w:tcPr>
            <w:tcW w:w="1268" w:type="dxa"/>
            <w:tcBorders>
              <w:top w:val="single" w:color="auto" w:sz="6" w:space="0"/>
              <w:left w:val="single" w:color="auto" w:sz="6" w:space="0"/>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9</w:t>
            </w:r>
          </w:p>
        </w:tc>
        <w:tc>
          <w:tcPr>
            <w:tcW w:w="4232" w:type="dxa"/>
            <w:tcBorders>
              <w:top w:val="single" w:color="auto" w:sz="6" w:space="0"/>
              <w:left w:val="nil"/>
              <w:bottom w:val="single" w:color="auto" w:sz="6" w:space="0"/>
              <w:right w:val="single" w:color="auto" w:sz="6" w:space="0"/>
            </w:tcBorders>
            <w:noWrap/>
            <w:vAlign w:val="center"/>
          </w:tcPr>
          <w:p>
            <w:pPr>
              <w:widowControl w:val="0"/>
              <w:spacing w:line="240" w:lineRule="auto"/>
              <w:jc w:val="left"/>
              <w:rPr>
                <w:rFonts w:hint="eastAsia" w:ascii="仿宋" w:hAnsi="仿宋" w:eastAsia="仿宋" w:cs="仿宋"/>
                <w:color w:val="auto"/>
              </w:rPr>
            </w:pPr>
            <w:r>
              <w:rPr>
                <w:rFonts w:hint="eastAsia" w:ascii="仿宋" w:hAnsi="仿宋" w:eastAsia="仿宋" w:cs="仿宋"/>
                <w:color w:val="auto"/>
              </w:rPr>
              <w:t>简易棚房（高度2m以上）</w:t>
            </w:r>
          </w:p>
        </w:tc>
        <w:tc>
          <w:tcPr>
            <w:tcW w:w="799" w:type="dxa"/>
            <w:tcBorders>
              <w:top w:val="single" w:color="auto" w:sz="6" w:space="0"/>
              <w:left w:val="nil"/>
              <w:bottom w:val="single" w:color="auto" w:sz="6" w:space="0"/>
              <w:right w:val="single" w:color="auto" w:sz="6" w:space="0"/>
            </w:tcBorders>
            <w:noWrap/>
            <w:vAlign w:val="center"/>
          </w:tcPr>
          <w:p>
            <w:pPr>
              <w:spacing w:line="240" w:lineRule="auto"/>
              <w:jc w:val="center"/>
              <w:rPr>
                <w:rFonts w:hint="eastAsia" w:ascii="仿宋" w:hAnsi="仿宋" w:eastAsia="仿宋" w:cs="仿宋"/>
              </w:rPr>
            </w:pPr>
            <w:r>
              <w:rPr>
                <w:rFonts w:hint="eastAsia" w:ascii="仿宋" w:hAnsi="仿宋" w:eastAsia="仿宋" w:cs="仿宋"/>
                <w:color w:val="auto"/>
              </w:rPr>
              <w:t>㎡</w:t>
            </w:r>
          </w:p>
        </w:tc>
        <w:tc>
          <w:tcPr>
            <w:tcW w:w="1670" w:type="dxa"/>
            <w:tcBorders>
              <w:top w:val="single" w:color="auto" w:sz="6" w:space="0"/>
              <w:left w:val="nil"/>
              <w:bottom w:val="single" w:color="auto" w:sz="6"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200</w:t>
            </w:r>
          </w:p>
        </w:tc>
        <w:tc>
          <w:tcPr>
            <w:tcW w:w="1029"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493" w:hRule="atLeast"/>
          <w:jc w:val="center"/>
        </w:trPr>
        <w:tc>
          <w:tcPr>
            <w:tcW w:w="1268" w:type="dxa"/>
            <w:tcBorders>
              <w:top w:val="single" w:color="auto" w:sz="6" w:space="0"/>
              <w:left w:val="single" w:color="auto" w:sz="6" w:space="0"/>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10</w:t>
            </w:r>
          </w:p>
        </w:tc>
        <w:tc>
          <w:tcPr>
            <w:tcW w:w="4232" w:type="dxa"/>
            <w:tcBorders>
              <w:top w:val="single" w:color="auto" w:sz="6" w:space="0"/>
              <w:left w:val="nil"/>
              <w:bottom w:val="single" w:color="auto" w:sz="6" w:space="0"/>
              <w:right w:val="single" w:color="auto" w:sz="6" w:space="0"/>
            </w:tcBorders>
            <w:noWrap/>
            <w:vAlign w:val="center"/>
          </w:tcPr>
          <w:p>
            <w:pPr>
              <w:widowControl w:val="0"/>
              <w:spacing w:line="240" w:lineRule="auto"/>
              <w:jc w:val="left"/>
              <w:rPr>
                <w:rFonts w:hint="eastAsia" w:ascii="仿宋" w:hAnsi="仿宋" w:eastAsia="仿宋" w:cs="仿宋"/>
                <w:color w:val="auto"/>
              </w:rPr>
            </w:pPr>
            <w:r>
              <w:rPr>
                <w:rFonts w:hint="eastAsia" w:ascii="仿宋" w:hAnsi="仿宋" w:eastAsia="仿宋" w:cs="仿宋"/>
                <w:color w:val="auto"/>
              </w:rPr>
              <w:t>室内养殖补助（含小店）</w:t>
            </w:r>
          </w:p>
        </w:tc>
        <w:tc>
          <w:tcPr>
            <w:tcW w:w="799" w:type="dxa"/>
            <w:tcBorders>
              <w:top w:val="single" w:color="auto" w:sz="6" w:space="0"/>
              <w:left w:val="nil"/>
              <w:bottom w:val="single" w:color="auto" w:sz="6" w:space="0"/>
              <w:right w:val="single" w:color="auto" w:sz="6" w:space="0"/>
            </w:tcBorders>
            <w:noWrap/>
            <w:vAlign w:val="center"/>
          </w:tcPr>
          <w:p>
            <w:pPr>
              <w:spacing w:line="240" w:lineRule="auto"/>
              <w:jc w:val="center"/>
              <w:rPr>
                <w:rFonts w:hint="eastAsia" w:ascii="仿宋" w:hAnsi="仿宋" w:eastAsia="仿宋" w:cs="仿宋"/>
              </w:rPr>
            </w:pPr>
            <w:r>
              <w:rPr>
                <w:rFonts w:hint="eastAsia" w:ascii="仿宋" w:hAnsi="仿宋" w:eastAsia="仿宋" w:cs="仿宋"/>
                <w:color w:val="auto"/>
              </w:rPr>
              <w:t>㎡</w:t>
            </w:r>
          </w:p>
        </w:tc>
        <w:tc>
          <w:tcPr>
            <w:tcW w:w="1670" w:type="dxa"/>
            <w:tcBorders>
              <w:top w:val="single" w:color="auto" w:sz="6" w:space="0"/>
              <w:left w:val="nil"/>
              <w:bottom w:val="single" w:color="auto" w:sz="6"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60-300</w:t>
            </w:r>
          </w:p>
        </w:tc>
        <w:tc>
          <w:tcPr>
            <w:tcW w:w="1029"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493" w:hRule="atLeast"/>
          <w:jc w:val="center"/>
        </w:trPr>
        <w:tc>
          <w:tcPr>
            <w:tcW w:w="1268" w:type="dxa"/>
            <w:tcBorders>
              <w:top w:val="single" w:color="auto" w:sz="6" w:space="0"/>
              <w:left w:val="single" w:color="auto" w:sz="6" w:space="0"/>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11</w:t>
            </w:r>
          </w:p>
        </w:tc>
        <w:tc>
          <w:tcPr>
            <w:tcW w:w="4232" w:type="dxa"/>
            <w:tcBorders>
              <w:top w:val="single" w:color="auto" w:sz="6" w:space="0"/>
              <w:left w:val="nil"/>
              <w:bottom w:val="single" w:color="auto" w:sz="6" w:space="0"/>
              <w:right w:val="single" w:color="auto" w:sz="6" w:space="0"/>
            </w:tcBorders>
            <w:noWrap/>
            <w:vAlign w:val="center"/>
          </w:tcPr>
          <w:p>
            <w:pPr>
              <w:widowControl w:val="0"/>
              <w:spacing w:line="240" w:lineRule="auto"/>
              <w:jc w:val="left"/>
              <w:rPr>
                <w:rFonts w:hint="eastAsia" w:ascii="仿宋" w:hAnsi="仿宋" w:eastAsia="仿宋" w:cs="仿宋"/>
                <w:color w:val="auto"/>
              </w:rPr>
            </w:pPr>
            <w:r>
              <w:rPr>
                <w:rFonts w:hint="eastAsia" w:ascii="仿宋" w:hAnsi="仿宋" w:eastAsia="仿宋" w:cs="仿宋"/>
                <w:color w:val="auto"/>
              </w:rPr>
              <w:t>标准养猪场（混合结构）</w:t>
            </w:r>
          </w:p>
        </w:tc>
        <w:tc>
          <w:tcPr>
            <w:tcW w:w="799" w:type="dxa"/>
            <w:tcBorders>
              <w:top w:val="single" w:color="auto" w:sz="6" w:space="0"/>
              <w:left w:val="nil"/>
              <w:bottom w:val="single" w:color="auto" w:sz="6" w:space="0"/>
              <w:right w:val="single" w:color="auto" w:sz="6" w:space="0"/>
            </w:tcBorders>
            <w:noWrap/>
            <w:vAlign w:val="center"/>
          </w:tcPr>
          <w:p>
            <w:pPr>
              <w:spacing w:line="240" w:lineRule="auto"/>
              <w:jc w:val="center"/>
              <w:rPr>
                <w:rFonts w:hint="eastAsia" w:ascii="仿宋" w:hAnsi="仿宋" w:eastAsia="仿宋" w:cs="仿宋"/>
              </w:rPr>
            </w:pPr>
            <w:r>
              <w:rPr>
                <w:rFonts w:hint="eastAsia" w:ascii="仿宋" w:hAnsi="仿宋" w:eastAsia="仿宋" w:cs="仿宋"/>
                <w:color w:val="auto"/>
              </w:rPr>
              <w:t>㎡</w:t>
            </w:r>
          </w:p>
        </w:tc>
        <w:tc>
          <w:tcPr>
            <w:tcW w:w="1670" w:type="dxa"/>
            <w:tcBorders>
              <w:top w:val="single" w:color="auto" w:sz="6" w:space="0"/>
              <w:left w:val="nil"/>
              <w:bottom w:val="single" w:color="auto" w:sz="6"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800</w:t>
            </w:r>
          </w:p>
        </w:tc>
        <w:tc>
          <w:tcPr>
            <w:tcW w:w="1029"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493" w:hRule="atLeast"/>
          <w:jc w:val="center"/>
        </w:trPr>
        <w:tc>
          <w:tcPr>
            <w:tcW w:w="1268" w:type="dxa"/>
            <w:tcBorders>
              <w:top w:val="single" w:color="auto" w:sz="6" w:space="0"/>
              <w:left w:val="single" w:color="auto" w:sz="6" w:space="0"/>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12</w:t>
            </w:r>
          </w:p>
        </w:tc>
        <w:tc>
          <w:tcPr>
            <w:tcW w:w="4232" w:type="dxa"/>
            <w:tcBorders>
              <w:top w:val="single" w:color="auto" w:sz="6" w:space="0"/>
              <w:left w:val="nil"/>
              <w:bottom w:val="single" w:color="auto" w:sz="6" w:space="0"/>
              <w:right w:val="single" w:color="auto" w:sz="6" w:space="0"/>
            </w:tcBorders>
            <w:noWrap/>
            <w:vAlign w:val="center"/>
          </w:tcPr>
          <w:p>
            <w:pPr>
              <w:widowControl w:val="0"/>
              <w:spacing w:line="240" w:lineRule="auto"/>
              <w:jc w:val="left"/>
              <w:rPr>
                <w:rFonts w:hint="eastAsia" w:ascii="仿宋" w:hAnsi="仿宋" w:eastAsia="仿宋" w:cs="仿宋"/>
                <w:color w:val="auto"/>
              </w:rPr>
            </w:pPr>
            <w:r>
              <w:rPr>
                <w:rFonts w:hint="eastAsia" w:ascii="仿宋" w:hAnsi="仿宋" w:eastAsia="仿宋" w:cs="仿宋"/>
                <w:color w:val="auto"/>
              </w:rPr>
              <w:t>标准养猪场（框架结构）</w:t>
            </w:r>
          </w:p>
        </w:tc>
        <w:tc>
          <w:tcPr>
            <w:tcW w:w="799" w:type="dxa"/>
            <w:tcBorders>
              <w:top w:val="single" w:color="auto" w:sz="6" w:space="0"/>
              <w:left w:val="nil"/>
              <w:bottom w:val="single" w:color="auto" w:sz="6" w:space="0"/>
              <w:right w:val="single" w:color="auto" w:sz="6" w:space="0"/>
            </w:tcBorders>
            <w:noWrap/>
            <w:vAlign w:val="center"/>
          </w:tcPr>
          <w:p>
            <w:pPr>
              <w:spacing w:line="240" w:lineRule="auto"/>
              <w:jc w:val="center"/>
              <w:rPr>
                <w:rFonts w:hint="eastAsia" w:ascii="仿宋" w:hAnsi="仿宋" w:eastAsia="仿宋" w:cs="仿宋"/>
              </w:rPr>
            </w:pPr>
            <w:r>
              <w:rPr>
                <w:rFonts w:hint="eastAsia" w:ascii="仿宋" w:hAnsi="仿宋" w:eastAsia="仿宋" w:cs="仿宋"/>
                <w:color w:val="auto"/>
              </w:rPr>
              <w:t>㎡</w:t>
            </w:r>
          </w:p>
        </w:tc>
        <w:tc>
          <w:tcPr>
            <w:tcW w:w="1670" w:type="dxa"/>
            <w:tcBorders>
              <w:top w:val="single" w:color="auto" w:sz="6" w:space="0"/>
              <w:left w:val="nil"/>
              <w:bottom w:val="single" w:color="auto" w:sz="6"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900</w:t>
            </w:r>
          </w:p>
        </w:tc>
        <w:tc>
          <w:tcPr>
            <w:tcW w:w="1029"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609" w:hRule="atLeast"/>
          <w:jc w:val="center"/>
        </w:trPr>
        <w:tc>
          <w:tcPr>
            <w:tcW w:w="1268" w:type="dxa"/>
            <w:tcBorders>
              <w:top w:val="single" w:color="auto" w:sz="6" w:space="0"/>
              <w:left w:val="single" w:color="auto" w:sz="6" w:space="0"/>
              <w:bottom w:val="single" w:color="auto" w:sz="6" w:space="0"/>
              <w:right w:val="single" w:color="auto" w:sz="6"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13</w:t>
            </w:r>
          </w:p>
        </w:tc>
        <w:tc>
          <w:tcPr>
            <w:tcW w:w="4232" w:type="dxa"/>
            <w:tcBorders>
              <w:top w:val="single" w:color="auto" w:sz="6" w:space="0"/>
              <w:left w:val="nil"/>
              <w:bottom w:val="single" w:color="auto" w:sz="6" w:space="0"/>
              <w:right w:val="single" w:color="auto" w:sz="6" w:space="0"/>
            </w:tcBorders>
            <w:noWrap/>
            <w:vAlign w:val="center"/>
          </w:tcPr>
          <w:p>
            <w:pPr>
              <w:widowControl w:val="0"/>
              <w:spacing w:line="240" w:lineRule="auto"/>
              <w:jc w:val="left"/>
              <w:rPr>
                <w:rFonts w:hint="eastAsia" w:ascii="仿宋" w:hAnsi="仿宋" w:eastAsia="仿宋" w:cs="仿宋"/>
                <w:color w:val="auto"/>
              </w:rPr>
            </w:pPr>
            <w:r>
              <w:rPr>
                <w:rFonts w:hint="eastAsia" w:ascii="仿宋" w:hAnsi="仿宋" w:eastAsia="仿宋" w:cs="仿宋"/>
                <w:color w:val="auto"/>
              </w:rPr>
              <w:t>野外鸡、鸭放养场</w:t>
            </w:r>
          </w:p>
        </w:tc>
        <w:tc>
          <w:tcPr>
            <w:tcW w:w="799" w:type="dxa"/>
            <w:tcBorders>
              <w:top w:val="single" w:color="auto" w:sz="6" w:space="0"/>
              <w:left w:val="nil"/>
              <w:bottom w:val="single" w:color="auto" w:sz="6" w:space="0"/>
              <w:right w:val="single" w:color="auto" w:sz="6" w:space="0"/>
            </w:tcBorders>
            <w:noWrap/>
            <w:vAlign w:val="center"/>
          </w:tcPr>
          <w:p>
            <w:pPr>
              <w:spacing w:line="240" w:lineRule="auto"/>
              <w:jc w:val="center"/>
              <w:rPr>
                <w:rFonts w:hint="eastAsia" w:ascii="仿宋" w:hAnsi="仿宋" w:eastAsia="仿宋" w:cs="仿宋"/>
              </w:rPr>
            </w:pPr>
            <w:r>
              <w:rPr>
                <w:rFonts w:hint="eastAsia" w:ascii="仿宋" w:hAnsi="仿宋" w:eastAsia="仿宋" w:cs="仿宋"/>
                <w:color w:val="auto"/>
              </w:rPr>
              <w:t>㎡</w:t>
            </w:r>
          </w:p>
        </w:tc>
        <w:tc>
          <w:tcPr>
            <w:tcW w:w="1670" w:type="dxa"/>
            <w:tcBorders>
              <w:top w:val="single" w:color="auto" w:sz="6" w:space="0"/>
              <w:left w:val="nil"/>
              <w:bottom w:val="single" w:color="auto" w:sz="6" w:space="0"/>
              <w:right w:val="single" w:color="auto" w:sz="4" w:space="0"/>
            </w:tcBorders>
            <w:noWrap/>
            <w:vAlign w:val="center"/>
          </w:tcPr>
          <w:p>
            <w:pPr>
              <w:widowControl w:val="0"/>
              <w:spacing w:line="240" w:lineRule="auto"/>
              <w:jc w:val="center"/>
              <w:rPr>
                <w:rFonts w:hint="eastAsia" w:ascii="仿宋" w:hAnsi="仿宋" w:eastAsia="仿宋" w:cs="仿宋"/>
                <w:color w:val="auto"/>
              </w:rPr>
            </w:pPr>
            <w:r>
              <w:rPr>
                <w:rFonts w:hint="eastAsia" w:ascii="仿宋" w:hAnsi="仿宋" w:eastAsia="仿宋" w:cs="仿宋"/>
                <w:color w:val="auto"/>
              </w:rPr>
              <w:t>20-60</w:t>
            </w:r>
          </w:p>
        </w:tc>
        <w:tc>
          <w:tcPr>
            <w:tcW w:w="1029" w:type="dxa"/>
            <w:tcBorders>
              <w:top w:val="single" w:color="auto" w:sz="4" w:space="0"/>
              <w:left w:val="nil"/>
              <w:bottom w:val="single" w:color="auto" w:sz="4" w:space="0"/>
              <w:right w:val="single" w:color="auto" w:sz="4" w:space="0"/>
            </w:tcBorders>
            <w:noWrap/>
            <w:vAlign w:val="center"/>
          </w:tcPr>
          <w:p>
            <w:pPr>
              <w:widowControl w:val="0"/>
              <w:spacing w:line="240" w:lineRule="auto"/>
              <w:jc w:val="center"/>
              <w:rPr>
                <w:rFonts w:hint="eastAsia" w:ascii="仿宋" w:hAnsi="仿宋" w:eastAsia="仿宋" w:cs="仿宋"/>
                <w:color w:val="auto"/>
              </w:rPr>
            </w:pPr>
          </w:p>
        </w:tc>
      </w:tr>
    </w:tbl>
    <w:p>
      <w:pPr>
        <w:widowControl w:val="0"/>
        <w:numPr>
          <w:ilvl w:val="255"/>
          <w:numId w:val="0"/>
        </w:numPr>
        <w:spacing w:after="156" w:line="360" w:lineRule="auto"/>
        <w:rPr>
          <w:rFonts w:hint="eastAsia" w:ascii="仿宋" w:hAnsi="仿宋" w:eastAsia="仿宋" w:cs="仿宋"/>
          <w:color w:val="auto"/>
          <w:sz w:val="24"/>
        </w:rPr>
      </w:pPr>
      <w:r>
        <w:rPr>
          <w:rFonts w:hint="eastAsia" w:ascii="仿宋" w:hAnsi="仿宋" w:eastAsia="仿宋" w:cs="仿宋"/>
          <w:color w:val="auto"/>
          <w:sz w:val="24"/>
        </w:rPr>
        <w:t>备注：上述各项均包含人工、材料、机械设备费用。</w:t>
      </w:r>
    </w:p>
    <w:p>
      <w:pPr>
        <w:widowControl/>
        <w:numPr>
          <w:ilvl w:val="-1"/>
          <w:numId w:val="0"/>
        </w:numPr>
        <w:spacing w:after="0" w:line="240" w:lineRule="auto"/>
        <w:rPr>
          <w:rFonts w:hint="eastAsia" w:ascii="仿宋" w:hAnsi="仿宋" w:eastAsia="仿宋" w:cs="仿宋"/>
          <w:color w:val="auto"/>
          <w:sz w:val="24"/>
        </w:rPr>
      </w:pPr>
      <w:r>
        <w:rPr>
          <w:rFonts w:hint="eastAsia" w:ascii="仿宋" w:hAnsi="仿宋" w:eastAsia="仿宋" w:cs="仿宋"/>
          <w:color w:val="auto"/>
          <w:sz w:val="24"/>
        </w:rPr>
        <w:br w:type="page"/>
      </w:r>
    </w:p>
    <w:p>
      <w:pPr>
        <w:widowControl w:val="0"/>
        <w:numPr>
          <w:ilvl w:val="255"/>
          <w:numId w:val="0"/>
        </w:numPr>
        <w:spacing w:after="156" w:line="360" w:lineRule="auto"/>
        <w:rPr>
          <w:rFonts w:hint="eastAsia" w:ascii="仿宋" w:hAnsi="仿宋" w:eastAsia="仿宋" w:cs="仿宋"/>
          <w:b/>
          <w:bCs/>
          <w:color w:val="auto"/>
          <w:sz w:val="24"/>
        </w:rPr>
      </w:pPr>
      <w:r>
        <w:rPr>
          <w:rFonts w:hint="eastAsia" w:ascii="仿宋" w:hAnsi="仿宋" w:eastAsia="仿宋" w:cs="仿宋"/>
          <w:b/>
          <w:bCs/>
          <w:color w:val="auto"/>
          <w:sz w:val="24"/>
        </w:rPr>
        <w:t>五、构筑物及附属设施补偿参考标准</w:t>
      </w:r>
    </w:p>
    <w:tbl>
      <w:tblPr>
        <w:tblStyle w:val="9"/>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831"/>
        <w:gridCol w:w="927"/>
        <w:gridCol w:w="1409"/>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b/>
                <w:bCs/>
                <w:color w:val="auto"/>
              </w:rPr>
            </w:pPr>
            <w:r>
              <w:rPr>
                <w:rFonts w:hint="eastAsia" w:ascii="仿宋" w:hAnsi="仿宋" w:eastAsia="仿宋" w:cs="仿宋"/>
                <w:b/>
                <w:bCs/>
                <w:color w:val="auto"/>
              </w:rPr>
              <w:t>序号</w:t>
            </w:r>
          </w:p>
        </w:tc>
        <w:tc>
          <w:tcPr>
            <w:tcW w:w="3831" w:type="dxa"/>
            <w:noWrap/>
            <w:vAlign w:val="center"/>
          </w:tcPr>
          <w:p>
            <w:pPr>
              <w:widowControl w:val="0"/>
              <w:spacing w:line="580" w:lineRule="exact"/>
              <w:jc w:val="center"/>
              <w:rPr>
                <w:rFonts w:hint="eastAsia" w:ascii="仿宋" w:hAnsi="仿宋" w:eastAsia="仿宋" w:cs="仿宋"/>
                <w:b/>
                <w:bCs/>
                <w:color w:val="auto"/>
              </w:rPr>
            </w:pPr>
            <w:r>
              <w:rPr>
                <w:rFonts w:hint="eastAsia" w:ascii="仿宋" w:hAnsi="仿宋" w:eastAsia="仿宋" w:cs="仿宋"/>
                <w:b/>
                <w:bCs/>
                <w:color w:val="auto"/>
              </w:rPr>
              <w:t>项目名称</w:t>
            </w:r>
          </w:p>
        </w:tc>
        <w:tc>
          <w:tcPr>
            <w:tcW w:w="927" w:type="dxa"/>
            <w:noWrap/>
            <w:vAlign w:val="center"/>
          </w:tcPr>
          <w:p>
            <w:pPr>
              <w:widowControl w:val="0"/>
              <w:spacing w:line="580" w:lineRule="exact"/>
              <w:jc w:val="center"/>
              <w:rPr>
                <w:rFonts w:hint="eastAsia" w:ascii="仿宋" w:hAnsi="仿宋" w:eastAsia="仿宋" w:cs="仿宋"/>
                <w:b/>
                <w:bCs/>
                <w:color w:val="auto"/>
              </w:rPr>
            </w:pPr>
            <w:r>
              <w:rPr>
                <w:rFonts w:hint="eastAsia" w:ascii="仿宋" w:hAnsi="仿宋" w:eastAsia="仿宋" w:cs="仿宋"/>
                <w:b/>
                <w:bCs/>
                <w:color w:val="auto"/>
              </w:rPr>
              <w:t>单位</w:t>
            </w:r>
          </w:p>
        </w:tc>
        <w:tc>
          <w:tcPr>
            <w:tcW w:w="1409" w:type="dxa"/>
            <w:noWrap/>
            <w:vAlign w:val="center"/>
          </w:tcPr>
          <w:p>
            <w:pPr>
              <w:widowControl w:val="0"/>
              <w:spacing w:line="580" w:lineRule="exact"/>
              <w:jc w:val="center"/>
              <w:rPr>
                <w:rFonts w:hint="eastAsia" w:ascii="仿宋" w:hAnsi="仿宋" w:eastAsia="仿宋" w:cs="仿宋"/>
                <w:b/>
                <w:bCs/>
                <w:color w:val="auto"/>
              </w:rPr>
            </w:pPr>
            <w:r>
              <w:rPr>
                <w:rFonts w:hint="eastAsia" w:ascii="仿宋" w:hAnsi="仿宋" w:eastAsia="仿宋" w:cs="仿宋"/>
                <w:b/>
                <w:bCs/>
                <w:color w:val="auto"/>
              </w:rPr>
              <w:t>单价（元）</w:t>
            </w:r>
          </w:p>
        </w:tc>
        <w:tc>
          <w:tcPr>
            <w:tcW w:w="1746" w:type="dxa"/>
            <w:noWrap/>
            <w:vAlign w:val="center"/>
          </w:tcPr>
          <w:p>
            <w:pPr>
              <w:widowControl w:val="0"/>
              <w:spacing w:line="580" w:lineRule="exact"/>
              <w:jc w:val="center"/>
              <w:rPr>
                <w:rFonts w:hint="eastAsia" w:ascii="仿宋" w:hAnsi="仿宋" w:eastAsia="仿宋" w:cs="仿宋"/>
                <w:b/>
                <w:bCs/>
                <w:color w:val="auto"/>
              </w:rPr>
            </w:pPr>
            <w:r>
              <w:rPr>
                <w:rFonts w:hint="eastAsia" w:ascii="仿宋" w:hAnsi="仿宋" w:eastAsia="仿宋" w:cs="仿宋"/>
                <w:b/>
                <w:bCs/>
                <w:color w:val="auto"/>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（单砖）砖墙、围墙（未批档）</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180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（单砖）砖墙、围墙（已批档）</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200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3</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（18墙）砖墙、围墙（未批档）</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210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4</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（18墙）砖墙、围墙（已批档）</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240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5</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（24墙）砖墙、围墙（未批档）</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260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6</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（24墙）砖墙、围墙（已批档）</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290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7</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压墙</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240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8</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砖石房屋基础（按建基面积计）</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250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9</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框架房屋基础（按建基面积计）</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300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10</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毛石挡土墙</w:t>
            </w:r>
          </w:p>
        </w:tc>
        <w:tc>
          <w:tcPr>
            <w:tcW w:w="927" w:type="dxa"/>
            <w:noWrap/>
            <w:vAlign w:val="center"/>
          </w:tcPr>
          <w:p>
            <w:pPr>
              <w:widowControl w:val="0"/>
              <w:spacing w:line="5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m³</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400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vMerge w:val="restart"/>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11</w:t>
            </w:r>
          </w:p>
        </w:tc>
        <w:tc>
          <w:tcPr>
            <w:tcW w:w="3831" w:type="dxa"/>
            <w:vMerge w:val="restart"/>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门楼：（宽2米内、高2米）</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座</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3000</w:t>
            </w:r>
          </w:p>
        </w:tc>
        <w:tc>
          <w:tcPr>
            <w:tcW w:w="1746"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普通型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vMerge w:val="continue"/>
            <w:noWrap/>
            <w:vAlign w:val="center"/>
          </w:tcPr>
          <w:p>
            <w:pPr>
              <w:widowControl w:val="0"/>
              <w:spacing w:line="580" w:lineRule="exact"/>
              <w:jc w:val="center"/>
              <w:rPr>
                <w:rFonts w:hint="eastAsia" w:ascii="仿宋" w:hAnsi="仿宋" w:eastAsia="仿宋" w:cs="仿宋"/>
                <w:color w:val="auto"/>
              </w:rPr>
            </w:pPr>
          </w:p>
        </w:tc>
        <w:tc>
          <w:tcPr>
            <w:tcW w:w="3831" w:type="dxa"/>
            <w:vMerge w:val="continue"/>
            <w:noWrap/>
            <w:vAlign w:val="center"/>
          </w:tcPr>
          <w:p>
            <w:pPr>
              <w:widowControl w:val="0"/>
              <w:spacing w:line="580" w:lineRule="exact"/>
              <w:jc w:val="center"/>
              <w:rPr>
                <w:rFonts w:hint="eastAsia" w:ascii="仿宋" w:hAnsi="仿宋" w:eastAsia="仿宋" w:cs="仿宋"/>
                <w:color w:val="auto"/>
              </w:rPr>
            </w:pP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座</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4000</w:t>
            </w:r>
          </w:p>
        </w:tc>
        <w:tc>
          <w:tcPr>
            <w:tcW w:w="1746"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高级装修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vMerge w:val="restart"/>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12</w:t>
            </w:r>
          </w:p>
        </w:tc>
        <w:tc>
          <w:tcPr>
            <w:tcW w:w="3831" w:type="dxa"/>
            <w:vMerge w:val="restart"/>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门楼：（宽2.5米内、高2米）</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座</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5000</w:t>
            </w:r>
          </w:p>
        </w:tc>
        <w:tc>
          <w:tcPr>
            <w:tcW w:w="1746"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普通型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vMerge w:val="continue"/>
            <w:noWrap/>
            <w:vAlign w:val="center"/>
          </w:tcPr>
          <w:p>
            <w:pPr>
              <w:widowControl w:val="0"/>
              <w:spacing w:line="580" w:lineRule="exact"/>
              <w:jc w:val="center"/>
              <w:rPr>
                <w:rFonts w:hint="eastAsia" w:ascii="仿宋" w:hAnsi="仿宋" w:eastAsia="仿宋" w:cs="仿宋"/>
                <w:color w:val="auto"/>
              </w:rPr>
            </w:pPr>
          </w:p>
        </w:tc>
        <w:tc>
          <w:tcPr>
            <w:tcW w:w="3831" w:type="dxa"/>
            <w:vMerge w:val="continue"/>
            <w:noWrap/>
            <w:vAlign w:val="center"/>
          </w:tcPr>
          <w:p>
            <w:pPr>
              <w:widowControl w:val="0"/>
              <w:spacing w:line="580" w:lineRule="exact"/>
              <w:jc w:val="center"/>
              <w:rPr>
                <w:rFonts w:hint="eastAsia" w:ascii="仿宋" w:hAnsi="仿宋" w:eastAsia="仿宋" w:cs="仿宋"/>
                <w:color w:val="auto"/>
              </w:rPr>
            </w:pP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座</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6000</w:t>
            </w:r>
          </w:p>
        </w:tc>
        <w:tc>
          <w:tcPr>
            <w:tcW w:w="1746"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高级装修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vMerge w:val="restart"/>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13</w:t>
            </w:r>
          </w:p>
        </w:tc>
        <w:tc>
          <w:tcPr>
            <w:tcW w:w="3831" w:type="dxa"/>
            <w:vMerge w:val="restart"/>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门楼：（宽3米内、高2米）</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座</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7500</w:t>
            </w:r>
          </w:p>
        </w:tc>
        <w:tc>
          <w:tcPr>
            <w:tcW w:w="1746"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普通型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vMerge w:val="continue"/>
            <w:noWrap/>
            <w:vAlign w:val="center"/>
          </w:tcPr>
          <w:p>
            <w:pPr>
              <w:widowControl w:val="0"/>
              <w:spacing w:line="580" w:lineRule="exact"/>
              <w:jc w:val="center"/>
              <w:rPr>
                <w:rFonts w:hint="eastAsia" w:ascii="仿宋" w:hAnsi="仿宋" w:eastAsia="仿宋" w:cs="仿宋"/>
                <w:color w:val="auto"/>
              </w:rPr>
            </w:pPr>
          </w:p>
        </w:tc>
        <w:tc>
          <w:tcPr>
            <w:tcW w:w="3831" w:type="dxa"/>
            <w:vMerge w:val="continue"/>
            <w:noWrap/>
            <w:vAlign w:val="center"/>
          </w:tcPr>
          <w:p>
            <w:pPr>
              <w:widowControl w:val="0"/>
              <w:spacing w:line="580" w:lineRule="exact"/>
              <w:jc w:val="center"/>
              <w:rPr>
                <w:rFonts w:hint="eastAsia" w:ascii="仿宋" w:hAnsi="仿宋" w:eastAsia="仿宋" w:cs="仿宋"/>
                <w:color w:val="auto"/>
              </w:rPr>
            </w:pP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座</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8500</w:t>
            </w:r>
          </w:p>
        </w:tc>
        <w:tc>
          <w:tcPr>
            <w:tcW w:w="1746"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高级装修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vMerge w:val="restart"/>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14</w:t>
            </w:r>
          </w:p>
        </w:tc>
        <w:tc>
          <w:tcPr>
            <w:tcW w:w="3831" w:type="dxa"/>
            <w:vMerge w:val="restart"/>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门楼：（宽3米以上、高2米）</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座</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10000</w:t>
            </w:r>
          </w:p>
        </w:tc>
        <w:tc>
          <w:tcPr>
            <w:tcW w:w="1746"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普通型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vMerge w:val="continue"/>
            <w:noWrap/>
            <w:vAlign w:val="center"/>
          </w:tcPr>
          <w:p>
            <w:pPr>
              <w:widowControl w:val="0"/>
              <w:spacing w:line="580" w:lineRule="exact"/>
              <w:jc w:val="center"/>
              <w:rPr>
                <w:rFonts w:hint="eastAsia" w:ascii="仿宋" w:hAnsi="仿宋" w:eastAsia="仿宋" w:cs="仿宋"/>
                <w:color w:val="auto"/>
              </w:rPr>
            </w:pPr>
          </w:p>
        </w:tc>
        <w:tc>
          <w:tcPr>
            <w:tcW w:w="3831" w:type="dxa"/>
            <w:vMerge w:val="continue"/>
            <w:noWrap/>
            <w:vAlign w:val="center"/>
          </w:tcPr>
          <w:p>
            <w:pPr>
              <w:widowControl w:val="0"/>
              <w:spacing w:line="580" w:lineRule="exact"/>
              <w:jc w:val="center"/>
              <w:rPr>
                <w:rFonts w:hint="eastAsia" w:ascii="仿宋" w:hAnsi="仿宋" w:eastAsia="仿宋" w:cs="仿宋"/>
                <w:color w:val="auto"/>
              </w:rPr>
            </w:pP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座</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12000</w:t>
            </w:r>
          </w:p>
        </w:tc>
        <w:tc>
          <w:tcPr>
            <w:tcW w:w="1746"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高级装修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15</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水井（按容积计）</w:t>
            </w:r>
          </w:p>
        </w:tc>
        <w:tc>
          <w:tcPr>
            <w:tcW w:w="927" w:type="dxa"/>
            <w:noWrap/>
            <w:vAlign w:val="center"/>
          </w:tcPr>
          <w:p>
            <w:pPr>
              <w:widowControl w:val="0"/>
              <w:spacing w:line="5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m³</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700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16</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手摇井（可使用）</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口</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3000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17</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手摇井（不可使用）</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口</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500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18</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水泥地坪</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120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19</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化粪池</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套</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4000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20</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家用沼气池</w:t>
            </w:r>
          </w:p>
        </w:tc>
        <w:tc>
          <w:tcPr>
            <w:tcW w:w="927" w:type="dxa"/>
            <w:noWrap/>
            <w:vAlign w:val="center"/>
          </w:tcPr>
          <w:p>
            <w:pPr>
              <w:jc w:val="center"/>
              <w:rPr>
                <w:rFonts w:hint="eastAsia" w:ascii="仿宋" w:hAnsi="仿宋" w:eastAsia="仿宋" w:cs="仿宋"/>
              </w:rPr>
            </w:pPr>
            <w:r>
              <w:rPr>
                <w:rFonts w:hint="eastAsia" w:ascii="仿宋" w:hAnsi="仿宋" w:eastAsia="仿宋" w:cs="仿宋"/>
                <w:color w:val="auto"/>
                <w:sz w:val="24"/>
                <w:szCs w:val="24"/>
              </w:rPr>
              <w:t>m³</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400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21</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户外水池（砖）</w:t>
            </w:r>
          </w:p>
        </w:tc>
        <w:tc>
          <w:tcPr>
            <w:tcW w:w="927" w:type="dxa"/>
            <w:noWrap/>
            <w:vAlign w:val="center"/>
          </w:tcPr>
          <w:p>
            <w:pPr>
              <w:jc w:val="center"/>
              <w:rPr>
                <w:rFonts w:hint="eastAsia" w:ascii="仿宋" w:hAnsi="仿宋" w:eastAsia="仿宋" w:cs="仿宋"/>
              </w:rPr>
            </w:pPr>
            <w:r>
              <w:rPr>
                <w:rFonts w:hint="eastAsia" w:ascii="仿宋" w:hAnsi="仿宋" w:eastAsia="仿宋" w:cs="仿宋"/>
                <w:color w:val="auto"/>
                <w:sz w:val="24"/>
                <w:szCs w:val="24"/>
              </w:rPr>
              <w:t>m³</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300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22</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水渠、水沟（砖）</w:t>
            </w:r>
          </w:p>
        </w:tc>
        <w:tc>
          <w:tcPr>
            <w:tcW w:w="927" w:type="dxa"/>
            <w:noWrap/>
            <w:vAlign w:val="center"/>
          </w:tcPr>
          <w:p>
            <w:pPr>
              <w:widowControl w:val="0"/>
              <w:spacing w:line="5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100-250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23</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大炉灶（水泥砂浆面）</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套</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1500-2000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24</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大炉灶（瓷片贴面）</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套</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3000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25</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炉灶（大理石贴面）</w:t>
            </w:r>
          </w:p>
        </w:tc>
        <w:tc>
          <w:tcPr>
            <w:tcW w:w="927"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米</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1200</w:t>
            </w:r>
          </w:p>
        </w:tc>
        <w:tc>
          <w:tcPr>
            <w:tcW w:w="1746" w:type="dxa"/>
            <w:noWrap/>
            <w:vAlign w:val="center"/>
          </w:tcPr>
          <w:p>
            <w:pPr>
              <w:widowControl w:val="0"/>
              <w:spacing w:line="240" w:lineRule="auto"/>
              <w:ind w:leftChars="0"/>
              <w:jc w:val="center"/>
              <w:rPr>
                <w:rFonts w:hint="eastAsia" w:ascii="仿宋" w:hAnsi="仿宋" w:eastAsia="仿宋" w:cs="仿宋"/>
                <w:color w:val="auto"/>
              </w:rPr>
            </w:pPr>
            <w:r>
              <w:rPr>
                <w:rFonts w:hint="eastAsia" w:ascii="仿宋" w:hAnsi="仿宋" w:eastAsia="仿宋" w:cs="仿宋"/>
                <w:color w:val="auto"/>
              </w:rPr>
              <w:t>含柜子加</w:t>
            </w:r>
            <w:r>
              <w:rPr>
                <w:rFonts w:hint="eastAsia" w:ascii="仿宋" w:hAnsi="仿宋" w:eastAsia="仿宋" w:cs="仿宋"/>
                <w:color w:val="auto"/>
                <w:lang w:val="en-US" w:eastAsia="zh-CN"/>
              </w:rPr>
              <w:t>多</w:t>
            </w:r>
            <w:r>
              <w:rPr>
                <w:rFonts w:hint="eastAsia" w:ascii="仿宋" w:hAnsi="仿宋" w:eastAsia="仿宋" w:cs="仿宋"/>
                <w:color w:val="auto"/>
              </w:rPr>
              <w:t>200元/米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26</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混凝土道路（220mm厚）</w:t>
            </w:r>
          </w:p>
        </w:tc>
        <w:tc>
          <w:tcPr>
            <w:tcW w:w="927" w:type="dxa"/>
            <w:noWrap/>
            <w:vAlign w:val="center"/>
          </w:tcPr>
          <w:p>
            <w:pPr>
              <w:widowControl w:val="0"/>
              <w:spacing w:line="5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200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27</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混凝土道路（150mm厚）</w:t>
            </w:r>
          </w:p>
        </w:tc>
        <w:tc>
          <w:tcPr>
            <w:tcW w:w="927" w:type="dxa"/>
            <w:noWrap/>
            <w:vAlign w:val="center"/>
          </w:tcPr>
          <w:p>
            <w:pPr>
              <w:widowControl w:val="0"/>
              <w:spacing w:line="5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160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28</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混凝土道路（100mm厚）</w:t>
            </w:r>
          </w:p>
        </w:tc>
        <w:tc>
          <w:tcPr>
            <w:tcW w:w="927" w:type="dxa"/>
            <w:noWrap/>
            <w:vAlign w:val="center"/>
          </w:tcPr>
          <w:p>
            <w:pPr>
              <w:widowControl w:val="0"/>
              <w:spacing w:line="5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120</w:t>
            </w:r>
          </w:p>
        </w:tc>
        <w:tc>
          <w:tcPr>
            <w:tcW w:w="1746" w:type="dxa"/>
            <w:noWrap/>
            <w:vAlign w:val="center"/>
          </w:tcPr>
          <w:p>
            <w:pPr>
              <w:widowControl w:val="0"/>
              <w:spacing w:line="580" w:lineRule="exact"/>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25"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39</w:t>
            </w:r>
          </w:p>
        </w:tc>
        <w:tc>
          <w:tcPr>
            <w:tcW w:w="3831"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lang w:val="en-US" w:eastAsia="zh-CN"/>
              </w:rPr>
              <w:t>剪</w:t>
            </w:r>
            <w:r>
              <w:rPr>
                <w:rFonts w:hint="eastAsia" w:ascii="仿宋" w:hAnsi="仿宋" w:eastAsia="仿宋" w:cs="仿宋"/>
                <w:color w:val="auto"/>
              </w:rPr>
              <w:t>力墙</w:t>
            </w:r>
          </w:p>
        </w:tc>
        <w:tc>
          <w:tcPr>
            <w:tcW w:w="927" w:type="dxa"/>
            <w:noWrap/>
            <w:vAlign w:val="center"/>
          </w:tcPr>
          <w:p>
            <w:pPr>
              <w:widowControl w:val="0"/>
              <w:spacing w:line="5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m³</w:t>
            </w:r>
          </w:p>
        </w:tc>
        <w:tc>
          <w:tcPr>
            <w:tcW w:w="1409" w:type="dxa"/>
            <w:noWrap/>
            <w:vAlign w:val="center"/>
          </w:tcPr>
          <w:p>
            <w:pPr>
              <w:widowControl w:val="0"/>
              <w:spacing w:line="580" w:lineRule="exact"/>
              <w:jc w:val="center"/>
              <w:rPr>
                <w:rFonts w:hint="eastAsia" w:ascii="仿宋" w:hAnsi="仿宋" w:eastAsia="仿宋" w:cs="仿宋"/>
                <w:color w:val="auto"/>
              </w:rPr>
            </w:pPr>
            <w:r>
              <w:rPr>
                <w:rFonts w:hint="eastAsia" w:ascii="仿宋" w:hAnsi="仿宋" w:eastAsia="仿宋" w:cs="仿宋"/>
                <w:color w:val="auto"/>
              </w:rPr>
              <w:t>800</w:t>
            </w:r>
          </w:p>
        </w:tc>
        <w:tc>
          <w:tcPr>
            <w:tcW w:w="1746" w:type="dxa"/>
            <w:noWrap/>
            <w:vAlign w:val="center"/>
          </w:tcPr>
          <w:p>
            <w:pPr>
              <w:widowControl w:val="0"/>
              <w:spacing w:line="580" w:lineRule="exact"/>
              <w:jc w:val="center"/>
              <w:rPr>
                <w:rFonts w:hint="eastAsia" w:ascii="仿宋" w:hAnsi="仿宋" w:eastAsia="仿宋" w:cs="仿宋"/>
                <w:color w:val="auto"/>
              </w:rPr>
            </w:pPr>
          </w:p>
        </w:tc>
      </w:tr>
    </w:tbl>
    <w:p>
      <w:pPr>
        <w:widowControl w:val="0"/>
        <w:numPr>
          <w:ilvl w:val="255"/>
          <w:numId w:val="0"/>
        </w:numPr>
        <w:spacing w:after="156" w:line="580" w:lineRule="exact"/>
        <w:rPr>
          <w:rFonts w:hint="eastAsia" w:ascii="仿宋" w:hAnsi="仿宋" w:eastAsia="仿宋" w:cs="仿宋"/>
          <w:b/>
          <w:bCs/>
          <w:color w:val="auto"/>
          <w:sz w:val="24"/>
        </w:rPr>
      </w:pPr>
      <w:r>
        <w:rPr>
          <w:rFonts w:hint="eastAsia" w:ascii="仿宋" w:hAnsi="仿宋" w:eastAsia="仿宋" w:cs="仿宋"/>
          <w:b/>
          <w:bCs/>
          <w:color w:val="auto"/>
          <w:sz w:val="24"/>
        </w:rPr>
        <w:t>六、室内外装修装饰补偿参考标准</w:t>
      </w:r>
    </w:p>
    <w:tbl>
      <w:tblPr>
        <w:tblStyle w:val="9"/>
        <w:tblW w:w="8725" w:type="dxa"/>
        <w:jc w:val="center"/>
        <w:tblLayout w:type="fixed"/>
        <w:tblCellMar>
          <w:top w:w="0" w:type="dxa"/>
          <w:left w:w="108" w:type="dxa"/>
          <w:bottom w:w="0" w:type="dxa"/>
          <w:right w:w="108" w:type="dxa"/>
        </w:tblCellMar>
      </w:tblPr>
      <w:tblGrid>
        <w:gridCol w:w="862"/>
        <w:gridCol w:w="4025"/>
        <w:gridCol w:w="791"/>
        <w:gridCol w:w="1649"/>
        <w:gridCol w:w="1398"/>
      </w:tblGrid>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b/>
                <w:bCs/>
                <w:color w:val="auto"/>
              </w:rPr>
            </w:pPr>
            <w:r>
              <w:rPr>
                <w:rFonts w:hint="eastAsia" w:ascii="仿宋" w:hAnsi="仿宋" w:eastAsia="仿宋" w:cs="仿宋"/>
                <w:b/>
                <w:bCs/>
                <w:color w:val="auto"/>
              </w:rPr>
              <w:t>序号</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b/>
                <w:bCs/>
                <w:color w:val="auto"/>
              </w:rPr>
            </w:pPr>
            <w:r>
              <w:rPr>
                <w:rFonts w:hint="eastAsia" w:ascii="仿宋" w:hAnsi="仿宋" w:eastAsia="仿宋" w:cs="仿宋"/>
                <w:b/>
                <w:bCs/>
                <w:color w:val="auto"/>
              </w:rPr>
              <w:t>项目名称（住宅）</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b/>
                <w:bCs/>
                <w:color w:val="auto"/>
              </w:rPr>
            </w:pPr>
            <w:r>
              <w:rPr>
                <w:rFonts w:hint="eastAsia" w:ascii="仿宋" w:hAnsi="仿宋" w:eastAsia="仿宋" w:cs="仿宋"/>
                <w:b/>
                <w:bCs/>
                <w:color w:val="auto"/>
              </w:rPr>
              <w:t>单位</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b/>
                <w:bCs/>
                <w:color w:val="auto"/>
              </w:rPr>
            </w:pPr>
            <w:r>
              <w:rPr>
                <w:rFonts w:hint="eastAsia" w:ascii="仿宋" w:hAnsi="仿宋" w:eastAsia="仿宋" w:cs="仿宋"/>
                <w:b/>
                <w:bCs/>
                <w:color w:val="auto"/>
              </w:rPr>
              <w:t>单价（元）</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b/>
                <w:bCs/>
                <w:color w:val="auto"/>
              </w:rPr>
            </w:pPr>
            <w:r>
              <w:rPr>
                <w:rFonts w:hint="eastAsia" w:ascii="仿宋" w:hAnsi="仿宋" w:eastAsia="仿宋" w:cs="仿宋"/>
                <w:b/>
                <w:bCs/>
                <w:color w:val="auto"/>
              </w:rPr>
              <w:t>备注</w:t>
            </w: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马赛克瓷片（外墙）</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外墙瓷片</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130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地面瓷片</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120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4</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上墙瓷片</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130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梯级砖</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6</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大理石地板（普通）</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180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7</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大理石地板（豪华）</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8</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地</w:t>
            </w:r>
            <w:r>
              <w:rPr>
                <w:rFonts w:hint="eastAsia" w:ascii="仿宋" w:hAnsi="仿宋" w:eastAsia="仿宋" w:cs="仿宋"/>
                <w:color w:val="auto"/>
                <w:lang w:val="en-US" w:eastAsia="zh-CN"/>
              </w:rPr>
              <w:t>角</w:t>
            </w:r>
            <w:r>
              <w:rPr>
                <w:rFonts w:hint="eastAsia" w:ascii="仿宋" w:hAnsi="仿宋" w:eastAsia="仿宋" w:cs="仿宋"/>
                <w:color w:val="auto"/>
              </w:rPr>
              <w:t>线</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92"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9</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大门红（瓷片）</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套</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1000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62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10</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大门红（大理石）</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套</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2000-3500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11</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复合地板</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180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12</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实木地板</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13</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普通不锈钢门（未封）</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14</w:t>
            </w:r>
          </w:p>
        </w:tc>
        <w:tc>
          <w:tcPr>
            <w:tcW w:w="4025" w:type="dxa"/>
            <w:tcBorders>
              <w:top w:val="single" w:color="auto" w:sz="6" w:space="0"/>
              <w:left w:val="nil"/>
              <w:bottom w:val="single" w:color="auto" w:sz="4"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普通不锈钢门（半封）</w:t>
            </w:r>
          </w:p>
        </w:tc>
        <w:tc>
          <w:tcPr>
            <w:tcW w:w="791" w:type="dxa"/>
            <w:tcBorders>
              <w:top w:val="single" w:color="auto" w:sz="6"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400-700</w:t>
            </w:r>
          </w:p>
        </w:tc>
        <w:tc>
          <w:tcPr>
            <w:tcW w:w="1398" w:type="dxa"/>
            <w:tcBorders>
              <w:top w:val="single" w:color="auto" w:sz="6"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15</w:t>
            </w:r>
          </w:p>
        </w:tc>
        <w:tc>
          <w:tcPr>
            <w:tcW w:w="4025" w:type="dxa"/>
            <w:tcBorders>
              <w:top w:val="single" w:color="auto" w:sz="6" w:space="0"/>
              <w:left w:val="nil"/>
              <w:bottom w:val="single" w:color="auto" w:sz="4"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防盗门（单面全封豪华不锈钢）</w:t>
            </w:r>
          </w:p>
        </w:tc>
        <w:tc>
          <w:tcPr>
            <w:tcW w:w="791" w:type="dxa"/>
            <w:tcBorders>
              <w:top w:val="single" w:color="auto" w:sz="6"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1300</w:t>
            </w:r>
          </w:p>
        </w:tc>
        <w:tc>
          <w:tcPr>
            <w:tcW w:w="1398" w:type="dxa"/>
            <w:tcBorders>
              <w:top w:val="single" w:color="auto" w:sz="6"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4" w:space="0"/>
              <w:left w:val="single" w:color="auto" w:sz="4" w:space="0"/>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16</w:t>
            </w:r>
          </w:p>
        </w:tc>
        <w:tc>
          <w:tcPr>
            <w:tcW w:w="4025" w:type="dxa"/>
            <w:tcBorders>
              <w:top w:val="single" w:color="auto" w:sz="4" w:space="0"/>
              <w:left w:val="nil"/>
              <w:bottom w:val="single" w:color="auto" w:sz="4"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防盗门（双面全封豪华不锈钢）</w:t>
            </w:r>
          </w:p>
        </w:tc>
        <w:tc>
          <w:tcPr>
            <w:tcW w:w="791" w:type="dxa"/>
            <w:tcBorders>
              <w:top w:val="single" w:color="auto" w:sz="4"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4"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2000</w:t>
            </w:r>
          </w:p>
        </w:tc>
        <w:tc>
          <w:tcPr>
            <w:tcW w:w="1398" w:type="dxa"/>
            <w:tcBorders>
              <w:top w:val="single" w:color="auto" w:sz="4" w:space="0"/>
              <w:left w:val="nil"/>
              <w:bottom w:val="single" w:color="auto" w:sz="4" w:space="0"/>
              <w:right w:val="single" w:color="auto" w:sz="4"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4"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17</w:t>
            </w:r>
          </w:p>
        </w:tc>
        <w:tc>
          <w:tcPr>
            <w:tcW w:w="4025" w:type="dxa"/>
            <w:tcBorders>
              <w:top w:val="single" w:color="auto" w:sz="4"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普通铁门</w:t>
            </w:r>
          </w:p>
        </w:tc>
        <w:tc>
          <w:tcPr>
            <w:tcW w:w="791" w:type="dxa"/>
            <w:tcBorders>
              <w:top w:val="single" w:color="auto" w:sz="4"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4"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200</w:t>
            </w:r>
          </w:p>
        </w:tc>
        <w:tc>
          <w:tcPr>
            <w:tcW w:w="1398" w:type="dxa"/>
            <w:tcBorders>
              <w:top w:val="single" w:color="auto" w:sz="4"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18</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铁艺门</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500-800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19</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普通木门</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樘</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1000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20</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豪华木门</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樘</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2500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21</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普通夹板门</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套</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22</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夹板木门</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套</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700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23</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铝合金卷闸门（手动）</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24</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铝合金卷闸门（电动）</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25</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玻璃推拉门</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14"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26</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铝合金推拉门</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450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27</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卫生间铝合金门</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套</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800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28</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卫生间塑钢门</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套</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600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29</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塑钢门</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套</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750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30</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不锈钢扶手</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31</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铁扶手</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32</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不锈钢护栏</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150-260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33</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铁艺护栏</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200-500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34</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铝合金窗</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230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35</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窗纱</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36</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不锈钢防盗网</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160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37</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铁丝网</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15</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38</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墙胶</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39</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墙漆（ICI）</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40</w:t>
            </w:r>
          </w:p>
        </w:tc>
        <w:tc>
          <w:tcPr>
            <w:tcW w:w="4025" w:type="dxa"/>
            <w:tcBorders>
              <w:top w:val="single" w:color="auto" w:sz="6" w:space="0"/>
              <w:left w:val="nil"/>
              <w:bottom w:val="single" w:color="auto" w:sz="4"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石膏板吊顶</w:t>
            </w:r>
          </w:p>
        </w:tc>
        <w:tc>
          <w:tcPr>
            <w:tcW w:w="791" w:type="dxa"/>
            <w:tcBorders>
              <w:top w:val="single" w:color="auto" w:sz="6"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130</w:t>
            </w:r>
          </w:p>
        </w:tc>
        <w:tc>
          <w:tcPr>
            <w:tcW w:w="1398" w:type="dxa"/>
            <w:tcBorders>
              <w:top w:val="single" w:color="auto" w:sz="6"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41</w:t>
            </w:r>
          </w:p>
        </w:tc>
        <w:tc>
          <w:tcPr>
            <w:tcW w:w="4025" w:type="dxa"/>
            <w:tcBorders>
              <w:top w:val="single" w:color="auto" w:sz="4" w:space="0"/>
              <w:left w:val="nil"/>
              <w:bottom w:val="single" w:color="auto" w:sz="4" w:space="0"/>
              <w:right w:val="single" w:color="auto" w:sz="4"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铝扣板吊顶</w:t>
            </w:r>
          </w:p>
        </w:tc>
        <w:tc>
          <w:tcPr>
            <w:tcW w:w="791" w:type="dxa"/>
            <w:tcBorders>
              <w:top w:val="single" w:color="auto" w:sz="4" w:space="0"/>
              <w:left w:val="nil"/>
              <w:bottom w:val="single" w:color="auto" w:sz="4" w:space="0"/>
              <w:right w:val="single" w:color="auto" w:sz="4"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4" w:space="0"/>
              <w:left w:val="nil"/>
              <w:bottom w:val="single" w:color="auto" w:sz="4" w:space="0"/>
              <w:right w:val="single" w:color="auto" w:sz="4"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200</w:t>
            </w:r>
          </w:p>
        </w:tc>
        <w:tc>
          <w:tcPr>
            <w:tcW w:w="1398" w:type="dxa"/>
            <w:tcBorders>
              <w:top w:val="single" w:color="auto" w:sz="4" w:space="0"/>
              <w:left w:val="nil"/>
              <w:bottom w:val="single" w:color="auto" w:sz="4" w:space="0"/>
              <w:right w:val="single" w:color="auto" w:sz="4"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42</w:t>
            </w:r>
          </w:p>
        </w:tc>
        <w:tc>
          <w:tcPr>
            <w:tcW w:w="4025" w:type="dxa"/>
            <w:tcBorders>
              <w:top w:val="single" w:color="auto" w:sz="4" w:space="0"/>
              <w:left w:val="nil"/>
              <w:bottom w:val="single" w:color="auto" w:sz="4" w:space="0"/>
              <w:right w:val="single" w:color="auto" w:sz="4"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石膏线条</w:t>
            </w:r>
          </w:p>
        </w:tc>
        <w:tc>
          <w:tcPr>
            <w:tcW w:w="791" w:type="dxa"/>
            <w:tcBorders>
              <w:top w:val="single" w:color="auto" w:sz="4" w:space="0"/>
              <w:left w:val="nil"/>
              <w:bottom w:val="single" w:color="auto" w:sz="4" w:space="0"/>
              <w:right w:val="single" w:color="auto" w:sz="4"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4" w:space="0"/>
              <w:left w:val="nil"/>
              <w:bottom w:val="single" w:color="auto" w:sz="4" w:space="0"/>
              <w:right w:val="single" w:color="auto" w:sz="4"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30</w:t>
            </w:r>
          </w:p>
        </w:tc>
        <w:tc>
          <w:tcPr>
            <w:tcW w:w="1398" w:type="dxa"/>
            <w:tcBorders>
              <w:top w:val="single" w:color="auto" w:sz="4" w:space="0"/>
              <w:left w:val="nil"/>
              <w:bottom w:val="single" w:color="auto" w:sz="4" w:space="0"/>
              <w:right w:val="single" w:color="auto" w:sz="4"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4" w:space="0"/>
              <w:left w:val="single" w:color="auto" w:sz="4" w:space="0"/>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43</w:t>
            </w:r>
          </w:p>
        </w:tc>
        <w:tc>
          <w:tcPr>
            <w:tcW w:w="4025" w:type="dxa"/>
            <w:tcBorders>
              <w:top w:val="single" w:color="auto" w:sz="4" w:space="0"/>
              <w:left w:val="nil"/>
              <w:bottom w:val="single" w:color="auto" w:sz="4"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壁柜</w:t>
            </w:r>
          </w:p>
        </w:tc>
        <w:tc>
          <w:tcPr>
            <w:tcW w:w="791" w:type="dxa"/>
            <w:tcBorders>
              <w:top w:val="single" w:color="auto" w:sz="4"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4"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500</w:t>
            </w:r>
          </w:p>
        </w:tc>
        <w:tc>
          <w:tcPr>
            <w:tcW w:w="1398" w:type="dxa"/>
            <w:tcBorders>
              <w:top w:val="single" w:color="auto" w:sz="4" w:space="0"/>
              <w:left w:val="nil"/>
              <w:bottom w:val="single" w:color="auto" w:sz="4" w:space="0"/>
              <w:right w:val="single" w:color="auto" w:sz="4"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4" w:space="0"/>
              <w:left w:val="single" w:color="auto" w:sz="6" w:space="0"/>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44</w:t>
            </w:r>
          </w:p>
        </w:tc>
        <w:tc>
          <w:tcPr>
            <w:tcW w:w="4025" w:type="dxa"/>
            <w:tcBorders>
              <w:top w:val="single" w:color="auto" w:sz="4" w:space="0"/>
              <w:left w:val="nil"/>
              <w:bottom w:val="single" w:color="auto" w:sz="4"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蹲厕（不含水箱，</w:t>
            </w:r>
            <w:r>
              <w:rPr>
                <w:rFonts w:hint="eastAsia" w:ascii="仿宋" w:hAnsi="仿宋" w:eastAsia="仿宋" w:cs="仿宋"/>
                <w:color w:val="auto"/>
                <w:lang w:val="en-US" w:eastAsia="zh-CN"/>
              </w:rPr>
              <w:t>已</w:t>
            </w:r>
            <w:r>
              <w:rPr>
                <w:rFonts w:hint="eastAsia" w:ascii="仿宋" w:hAnsi="仿宋" w:eastAsia="仿宋" w:cs="仿宋"/>
                <w:color w:val="auto"/>
              </w:rPr>
              <w:t>安装）</w:t>
            </w:r>
          </w:p>
        </w:tc>
        <w:tc>
          <w:tcPr>
            <w:tcW w:w="791" w:type="dxa"/>
            <w:tcBorders>
              <w:top w:val="single" w:color="auto" w:sz="4"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套</w:t>
            </w:r>
          </w:p>
        </w:tc>
        <w:tc>
          <w:tcPr>
            <w:tcW w:w="1649" w:type="dxa"/>
            <w:tcBorders>
              <w:top w:val="single" w:color="auto" w:sz="4"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280</w:t>
            </w:r>
          </w:p>
        </w:tc>
        <w:tc>
          <w:tcPr>
            <w:tcW w:w="1398" w:type="dxa"/>
            <w:tcBorders>
              <w:top w:val="single" w:color="auto" w:sz="4"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4" w:space="0"/>
              <w:left w:val="single" w:color="auto" w:sz="4" w:space="0"/>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45</w:t>
            </w:r>
          </w:p>
        </w:tc>
        <w:tc>
          <w:tcPr>
            <w:tcW w:w="4025" w:type="dxa"/>
            <w:tcBorders>
              <w:top w:val="single" w:color="auto" w:sz="4" w:space="0"/>
              <w:left w:val="nil"/>
              <w:bottom w:val="single" w:color="auto" w:sz="4"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蹲厕（含水箱，</w:t>
            </w:r>
            <w:r>
              <w:rPr>
                <w:rFonts w:hint="eastAsia" w:ascii="仿宋" w:hAnsi="仿宋" w:eastAsia="仿宋" w:cs="仿宋"/>
                <w:color w:val="auto"/>
                <w:lang w:val="en-US" w:eastAsia="zh-CN"/>
              </w:rPr>
              <w:t>已</w:t>
            </w:r>
            <w:r>
              <w:rPr>
                <w:rFonts w:hint="eastAsia" w:ascii="仿宋" w:hAnsi="仿宋" w:eastAsia="仿宋" w:cs="仿宋"/>
                <w:color w:val="auto"/>
              </w:rPr>
              <w:t>安装）</w:t>
            </w:r>
          </w:p>
        </w:tc>
        <w:tc>
          <w:tcPr>
            <w:tcW w:w="791" w:type="dxa"/>
            <w:tcBorders>
              <w:top w:val="single" w:color="auto" w:sz="4"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套</w:t>
            </w:r>
          </w:p>
        </w:tc>
        <w:tc>
          <w:tcPr>
            <w:tcW w:w="1649" w:type="dxa"/>
            <w:tcBorders>
              <w:top w:val="single" w:color="auto" w:sz="4" w:space="0"/>
              <w:left w:val="nil"/>
              <w:bottom w:val="single" w:color="auto" w:sz="4"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500</w:t>
            </w:r>
          </w:p>
        </w:tc>
        <w:tc>
          <w:tcPr>
            <w:tcW w:w="1398" w:type="dxa"/>
            <w:tcBorders>
              <w:top w:val="single" w:color="auto" w:sz="4" w:space="0"/>
              <w:left w:val="nil"/>
              <w:bottom w:val="single" w:color="auto" w:sz="4" w:space="0"/>
              <w:right w:val="single" w:color="auto" w:sz="4"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4"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46</w:t>
            </w:r>
          </w:p>
        </w:tc>
        <w:tc>
          <w:tcPr>
            <w:tcW w:w="4025" w:type="dxa"/>
            <w:tcBorders>
              <w:top w:val="single" w:color="auto" w:sz="4"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坐厕（含水箱，</w:t>
            </w:r>
            <w:r>
              <w:rPr>
                <w:rFonts w:hint="eastAsia" w:ascii="仿宋" w:hAnsi="仿宋" w:eastAsia="仿宋" w:cs="仿宋"/>
                <w:color w:val="auto"/>
                <w:lang w:val="en-US" w:eastAsia="zh-CN"/>
              </w:rPr>
              <w:t>已</w:t>
            </w:r>
            <w:r>
              <w:rPr>
                <w:rFonts w:hint="eastAsia" w:ascii="仿宋" w:hAnsi="仿宋" w:eastAsia="仿宋" w:cs="仿宋"/>
                <w:color w:val="auto"/>
              </w:rPr>
              <w:t>安装）</w:t>
            </w:r>
          </w:p>
        </w:tc>
        <w:tc>
          <w:tcPr>
            <w:tcW w:w="791" w:type="dxa"/>
            <w:tcBorders>
              <w:top w:val="single" w:color="auto" w:sz="4"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套</w:t>
            </w:r>
          </w:p>
        </w:tc>
        <w:tc>
          <w:tcPr>
            <w:tcW w:w="1649" w:type="dxa"/>
            <w:tcBorders>
              <w:top w:val="single" w:color="auto" w:sz="4"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800-2000</w:t>
            </w:r>
          </w:p>
        </w:tc>
        <w:tc>
          <w:tcPr>
            <w:tcW w:w="1398" w:type="dxa"/>
            <w:tcBorders>
              <w:top w:val="single" w:color="auto" w:sz="4"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47</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大理石洗手台</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台</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800-1500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48</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水泥涵管（DN300）</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49</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水泥涵管（DN500）</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50</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水泥涵管（DN600）</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450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51</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水泥涵管（DN800）</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800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52</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水泥涵管（DN1000）</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1000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53</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水泥涵管（DN1200）</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1300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54</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水泥涵管（DN1500）</w:t>
            </w:r>
          </w:p>
        </w:tc>
        <w:tc>
          <w:tcPr>
            <w:tcW w:w="791" w:type="dxa"/>
            <w:tcBorders>
              <w:top w:val="single" w:color="auto" w:sz="6" w:space="0"/>
              <w:left w:val="nil"/>
              <w:bottom w:val="single" w:color="auto" w:sz="6" w:space="0"/>
              <w:right w:val="single" w:color="auto" w:sz="6" w:space="0"/>
            </w:tcBorders>
            <w:noWrap/>
            <w:vAlign w:val="center"/>
          </w:tcPr>
          <w:p>
            <w:pPr>
              <w:widowControl w:val="0"/>
              <w:tabs>
                <w:tab w:val="left" w:pos="226"/>
              </w:tabs>
              <w:spacing w:line="276" w:lineRule="auto"/>
              <w:rPr>
                <w:rFonts w:hint="eastAsia" w:ascii="仿宋" w:hAnsi="仿宋" w:eastAsia="仿宋" w:cs="仿宋"/>
                <w:color w:val="auto"/>
                <w:sz w:val="24"/>
                <w:szCs w:val="24"/>
              </w:rPr>
            </w:pPr>
            <w:r>
              <w:rPr>
                <w:rFonts w:hint="eastAsia" w:ascii="仿宋" w:hAnsi="仿宋" w:eastAsia="仿宋" w:cs="仿宋"/>
                <w:color w:val="auto"/>
                <w:sz w:val="24"/>
                <w:szCs w:val="24"/>
              </w:rPr>
              <w:tab/>
            </w: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1800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55</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户外PVC水管（4分管）</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15</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含管件</w:t>
            </w: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56</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户外PVC水管（6分管）</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含管件</w:t>
            </w: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57</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户外PVC水管（</w:t>
            </w:r>
            <w:r>
              <w:rPr>
                <w:rFonts w:hint="eastAsia" w:ascii="仿宋" w:hAnsi="仿宋" w:eastAsia="仿宋" w:cs="仿宋"/>
                <w:color w:val="auto"/>
                <w:shd w:val="clear" w:color="auto" w:fill="FFFFFF"/>
              </w:rPr>
              <w:t>Φ32</w:t>
            </w:r>
            <w:r>
              <w:rPr>
                <w:rFonts w:hint="eastAsia" w:ascii="仿宋" w:hAnsi="仿宋" w:eastAsia="仿宋" w:cs="仿宋"/>
                <w:color w:val="auto"/>
              </w:rPr>
              <w:t>mm）</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30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含管件</w:t>
            </w: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58</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户外PVC水管（</w:t>
            </w:r>
            <w:r>
              <w:rPr>
                <w:rFonts w:hint="eastAsia" w:ascii="仿宋" w:hAnsi="仿宋" w:eastAsia="仿宋" w:cs="仿宋"/>
                <w:color w:val="auto"/>
                <w:shd w:val="clear" w:color="auto" w:fill="FFFFFF"/>
              </w:rPr>
              <w:t>Φ4</w:t>
            </w:r>
            <w:r>
              <w:rPr>
                <w:rFonts w:hint="eastAsia" w:ascii="仿宋" w:hAnsi="仿宋" w:eastAsia="仿宋" w:cs="仿宋"/>
                <w:color w:val="auto"/>
              </w:rPr>
              <w:t>0mm）</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ind w:firstLine="265"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40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含管件</w:t>
            </w: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59</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户外PVC水管（</w:t>
            </w:r>
            <w:r>
              <w:rPr>
                <w:rFonts w:hint="eastAsia" w:ascii="仿宋" w:hAnsi="仿宋" w:eastAsia="仿宋" w:cs="仿宋"/>
                <w:color w:val="auto"/>
                <w:shd w:val="clear" w:color="auto" w:fill="FFFFFF"/>
              </w:rPr>
              <w:t>Φ5</w:t>
            </w:r>
            <w:r>
              <w:rPr>
                <w:rFonts w:hint="eastAsia" w:ascii="仿宋" w:hAnsi="仿宋" w:eastAsia="仿宋" w:cs="仿宋"/>
                <w:color w:val="auto"/>
              </w:rPr>
              <w:t>0mm）</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45</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含管件</w:t>
            </w: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60</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户外PVC水管（</w:t>
            </w:r>
            <w:r>
              <w:rPr>
                <w:rFonts w:hint="eastAsia" w:ascii="仿宋" w:hAnsi="仿宋" w:eastAsia="仿宋" w:cs="仿宋"/>
                <w:color w:val="auto"/>
                <w:shd w:val="clear" w:color="auto" w:fill="FFFFFF"/>
              </w:rPr>
              <w:t>Φ75</w:t>
            </w:r>
            <w:r>
              <w:rPr>
                <w:rFonts w:hint="eastAsia" w:ascii="仿宋" w:hAnsi="仿宋" w:eastAsia="仿宋" w:cs="仿宋"/>
                <w:color w:val="auto"/>
              </w:rPr>
              <w:t>mm）</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55</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含管件</w:t>
            </w: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61</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PVC排水管（</w:t>
            </w:r>
            <w:r>
              <w:rPr>
                <w:rFonts w:hint="eastAsia" w:ascii="仿宋" w:hAnsi="仿宋" w:eastAsia="仿宋" w:cs="仿宋"/>
                <w:color w:val="auto"/>
                <w:shd w:val="clear" w:color="auto" w:fill="FFFFFF"/>
              </w:rPr>
              <w:t>Φ</w:t>
            </w:r>
            <w:r>
              <w:rPr>
                <w:rFonts w:hint="eastAsia" w:ascii="仿宋" w:hAnsi="仿宋" w:eastAsia="仿宋" w:cs="仿宋"/>
                <w:color w:val="auto"/>
              </w:rPr>
              <w:t>90mm）</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60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含管件</w:t>
            </w: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62</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PVC排水管（</w:t>
            </w:r>
            <w:r>
              <w:rPr>
                <w:rFonts w:hint="eastAsia" w:ascii="仿宋" w:hAnsi="仿宋" w:eastAsia="仿宋" w:cs="仿宋"/>
                <w:color w:val="auto"/>
                <w:shd w:val="clear" w:color="auto" w:fill="FFFFFF"/>
              </w:rPr>
              <w:t>Φ</w:t>
            </w:r>
            <w:r>
              <w:rPr>
                <w:rFonts w:hint="eastAsia" w:ascii="仿宋" w:hAnsi="仿宋" w:eastAsia="仿宋" w:cs="仿宋"/>
                <w:color w:val="auto"/>
              </w:rPr>
              <w:t>110mm）</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80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含管件</w:t>
            </w: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63</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PVC排水管（</w:t>
            </w:r>
            <w:r>
              <w:rPr>
                <w:rFonts w:hint="eastAsia" w:ascii="仿宋" w:hAnsi="仿宋" w:eastAsia="仿宋" w:cs="仿宋"/>
                <w:color w:val="auto"/>
                <w:shd w:val="clear" w:color="auto" w:fill="FFFFFF"/>
              </w:rPr>
              <w:t>Φ</w:t>
            </w:r>
            <w:r>
              <w:rPr>
                <w:rFonts w:hint="eastAsia" w:ascii="仿宋" w:hAnsi="仿宋" w:eastAsia="仿宋" w:cs="仿宋"/>
                <w:color w:val="auto"/>
              </w:rPr>
              <w:t>160mm）</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120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含管件</w:t>
            </w: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64</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遮光网、塑料网</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8</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65</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铁围栏</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80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40"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66</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房屋水、电补助（明线）</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67</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房屋水、电补助（线槽）</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80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68</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房屋水、电补助（暗线）</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120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69</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不锈钢水塔（2T）</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个</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2000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70</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color w:val="auto"/>
              </w:rPr>
            </w:pPr>
            <w:r>
              <w:rPr>
                <w:rFonts w:hint="eastAsia" w:ascii="仿宋" w:hAnsi="仿宋" w:eastAsia="仿宋" w:cs="仿宋"/>
                <w:color w:val="auto"/>
              </w:rPr>
              <w:t>空调移机补偿</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台</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r>
              <w:rPr>
                <w:rFonts w:hint="eastAsia" w:ascii="仿宋" w:hAnsi="仿宋" w:eastAsia="仿宋" w:cs="仿宋"/>
                <w:color w:val="auto"/>
              </w:rPr>
              <w:t>500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71</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太阳能移机拆装补偿（损耗）</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台</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1000-2000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72</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空气能移机拆装补偿</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台</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500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73</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铁防盗网</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100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74</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水泥桥</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300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75</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铁广告牌</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150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76</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户外电线</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4</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77</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半砖铁皮棚</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250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78</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超高铁皮棚(6m以内)</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250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79</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铁皮棚（四周围铁皮）</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250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80</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红砖门柱（高2米以内）</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条</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1000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81</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红砖门柱（高2米至3米内）</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条</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1500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82</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路灯（无杆）</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盏</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500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83</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太阳能路灯（有杆）</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盏</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3000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84</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绿化砖</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120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85</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摄像头</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个</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300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86</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户外混合结构楼梯</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750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87</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玻璃雨棚</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600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88</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绿化带</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m</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180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89</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铁楼梯</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150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r>
        <w:tblPrEx>
          <w:tblCellMar>
            <w:top w:w="0" w:type="dxa"/>
            <w:left w:w="108" w:type="dxa"/>
            <w:bottom w:w="0" w:type="dxa"/>
            <w:right w:w="108" w:type="dxa"/>
          </w:tblCellMar>
        </w:tblPrEx>
        <w:trPr>
          <w:trHeight w:val="569" w:hRule="exact"/>
          <w:jc w:val="center"/>
        </w:trPr>
        <w:tc>
          <w:tcPr>
            <w:tcW w:w="862" w:type="dxa"/>
            <w:tcBorders>
              <w:top w:val="single" w:color="auto" w:sz="6" w:space="0"/>
              <w:left w:val="single" w:color="auto" w:sz="6" w:space="0"/>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90</w:t>
            </w:r>
          </w:p>
        </w:tc>
        <w:tc>
          <w:tcPr>
            <w:tcW w:w="4025" w:type="dxa"/>
            <w:tcBorders>
              <w:top w:val="single" w:color="auto" w:sz="6" w:space="0"/>
              <w:left w:val="nil"/>
              <w:bottom w:val="single" w:color="auto" w:sz="6" w:space="0"/>
              <w:right w:val="single" w:color="auto" w:sz="6" w:space="0"/>
            </w:tcBorders>
            <w:noWrap/>
            <w:vAlign w:val="center"/>
          </w:tcPr>
          <w:p>
            <w:pPr>
              <w:widowControl w:val="0"/>
              <w:spacing w:line="276" w:lineRule="auto"/>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透明雨棚</w:t>
            </w:r>
          </w:p>
        </w:tc>
        <w:tc>
          <w:tcPr>
            <w:tcW w:w="791"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w:t>
            </w:r>
          </w:p>
        </w:tc>
        <w:tc>
          <w:tcPr>
            <w:tcW w:w="1649"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r>
              <w:rPr>
                <w:rFonts w:hint="eastAsia" w:ascii="仿宋" w:hAnsi="仿宋" w:eastAsia="仿宋" w:cs="仿宋"/>
                <w:color w:val="auto"/>
              </w:rPr>
              <w:t>250</w:t>
            </w:r>
          </w:p>
        </w:tc>
        <w:tc>
          <w:tcPr>
            <w:tcW w:w="1398" w:type="dxa"/>
            <w:tcBorders>
              <w:top w:val="single" w:color="auto" w:sz="6" w:space="0"/>
              <w:left w:val="nil"/>
              <w:bottom w:val="single" w:color="auto" w:sz="6" w:space="0"/>
              <w:right w:val="single" w:color="auto" w:sz="6" w:space="0"/>
            </w:tcBorders>
            <w:noWrap/>
            <w:vAlign w:val="center"/>
          </w:tcPr>
          <w:p>
            <w:pPr>
              <w:widowControl w:val="0"/>
              <w:spacing w:line="276" w:lineRule="auto"/>
              <w:jc w:val="center"/>
              <w:rPr>
                <w:rFonts w:hint="eastAsia" w:ascii="仿宋" w:hAnsi="仿宋" w:eastAsia="仿宋" w:cs="仿宋"/>
                <w:snapToGrid w:val="0"/>
                <w:color w:val="auto"/>
                <w:sz w:val="21"/>
                <w:szCs w:val="21"/>
                <w:lang w:val="en-US" w:eastAsia="zh-CN" w:bidi="ar-SA"/>
              </w:rPr>
            </w:pPr>
          </w:p>
        </w:tc>
      </w:tr>
    </w:tbl>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firstLine="530" w:firstLineChars="200"/>
        <w:textAlignment w:val="baseline"/>
        <w:rPr>
          <w:rFonts w:hint="eastAsia" w:ascii="仿宋" w:hAnsi="仿宋" w:eastAsia="仿宋" w:cs="仿宋"/>
          <w:color w:val="auto"/>
          <w:sz w:val="24"/>
        </w:rPr>
      </w:pPr>
      <w:r>
        <w:rPr>
          <w:rFonts w:hint="eastAsia" w:ascii="仿宋" w:hAnsi="仿宋" w:eastAsia="仿宋" w:cs="仿宋"/>
          <w:color w:val="auto"/>
          <w:sz w:val="24"/>
        </w:rPr>
        <w:t>备注：以上各表所列各项均包含人工费、材料费、施工机械设备、辅料，未含项目补偿价格，可参考《广东省建筑与装饰综合定额》、《河源市建设工程造价信息》最新版等资料，结合市场上建筑材料、人工、机器台班等因素确定以评估为准。</w:t>
      </w:r>
    </w:p>
    <w:p>
      <w:pPr>
        <w:pStyle w:val="2"/>
        <w:rPr>
          <w:rFonts w:hint="eastAsia" w:ascii="仿宋" w:hAnsi="仿宋" w:eastAsia="仿宋" w:cs="仿宋"/>
        </w:rPr>
      </w:pPr>
    </w:p>
    <w:p>
      <w:pPr>
        <w:spacing w:line="360" w:lineRule="auto"/>
        <w:rPr>
          <w:rFonts w:hint="eastAsia" w:ascii="仿宋" w:hAnsi="仿宋" w:eastAsia="仿宋" w:cs="仿宋"/>
          <w:b/>
          <w:bCs/>
          <w:spacing w:val="17"/>
          <w:sz w:val="28"/>
          <w:szCs w:val="28"/>
        </w:rPr>
      </w:pPr>
    </w:p>
    <w:p>
      <w:pPr>
        <w:spacing w:line="360" w:lineRule="auto"/>
        <w:rPr>
          <w:rFonts w:hint="eastAsia" w:ascii="仿宋" w:hAnsi="仿宋" w:eastAsia="仿宋" w:cs="仿宋"/>
          <w:b/>
          <w:bCs/>
          <w:spacing w:val="17"/>
          <w:sz w:val="28"/>
          <w:szCs w:val="28"/>
        </w:rPr>
      </w:pPr>
    </w:p>
    <w:p>
      <w:pPr>
        <w:spacing w:line="360" w:lineRule="auto"/>
        <w:rPr>
          <w:rFonts w:hint="eastAsia" w:ascii="仿宋" w:hAnsi="仿宋" w:eastAsia="仿宋" w:cs="仿宋"/>
          <w:b/>
          <w:bCs/>
          <w:spacing w:val="17"/>
          <w:sz w:val="28"/>
          <w:szCs w:val="28"/>
        </w:rPr>
      </w:pPr>
    </w:p>
    <w:p>
      <w:pPr>
        <w:spacing w:line="360" w:lineRule="auto"/>
        <w:ind w:firstLine="6441" w:firstLineChars="1900"/>
        <w:jc w:val="right"/>
        <w:rPr>
          <w:rFonts w:ascii="宋体" w:hAnsi="宋体" w:eastAsia="宋体" w:cs="宋体"/>
          <w:b/>
          <w:bCs/>
          <w:spacing w:val="17"/>
          <w:sz w:val="28"/>
          <w:szCs w:val="28"/>
        </w:rPr>
      </w:pPr>
    </w:p>
    <w:sectPr>
      <w:footerReference r:id="rId3" w:type="default"/>
      <w:pgSz w:w="11906" w:h="16838"/>
      <w:pgMar w:top="1440" w:right="1080" w:bottom="1440" w:left="1080" w:header="851" w:footer="992" w:gutter="0"/>
      <w:pgNumType w:fmt="decimal"/>
      <w:cols w:space="0" w:num="1"/>
      <w:docGrid w:type="linesAndChars" w:linePitch="312" w:charSpace="5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t>-</w:t>
                          </w:r>
                          <w:r>
                            <w:fldChar w:fldCharType="begin"/>
                          </w:r>
                          <w:r>
                            <w:instrText xml:space="preserve"> PAGE  \* MERGEFORMAT </w:instrText>
                          </w:r>
                          <w:r>
                            <w:fldChar w:fldCharType="separate"/>
                          </w:r>
                          <w:r>
                            <w:t>3</w:t>
                          </w:r>
                          <w:r>
                            <w:fldChar w:fldCharType="end"/>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vpdE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K+l0TICAABj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rPr>
                      <w:t>-</w:t>
                    </w:r>
                    <w:r>
                      <w:fldChar w:fldCharType="begin"/>
                    </w:r>
                    <w:r>
                      <w:instrText xml:space="preserve"> PAGE  \* MERGEFORMAT </w:instrText>
                    </w:r>
                    <w:r>
                      <w:fldChar w:fldCharType="separate"/>
                    </w:r>
                    <w:r>
                      <w:t>3</w:t>
                    </w:r>
                    <w:r>
                      <w:fldChar w:fldCharType="end"/>
                    </w:r>
                    <w:r>
                      <w:rPr>
                        <w:rFonts w:hint="eastAsia"/>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2B269A"/>
    <w:multiLevelType w:val="singleLevel"/>
    <w:tmpl w:val="8E2B269A"/>
    <w:lvl w:ilvl="0" w:tentative="0">
      <w:start w:val="1"/>
      <w:numFmt w:val="decimal"/>
      <w:suff w:val="space"/>
      <w:lvlText w:val="%1."/>
      <w:lvlJc w:val="left"/>
    </w:lvl>
  </w:abstractNum>
  <w:abstractNum w:abstractNumId="1">
    <w:nsid w:val="AAA9CA70"/>
    <w:multiLevelType w:val="singleLevel"/>
    <w:tmpl w:val="AAA9CA70"/>
    <w:lvl w:ilvl="0" w:tentative="0">
      <w:start w:val="8"/>
      <w:numFmt w:val="decimal"/>
      <w:suff w:val="space"/>
      <w:lvlText w:val="%1."/>
      <w:lvlJc w:val="left"/>
    </w:lvl>
  </w:abstractNum>
  <w:abstractNum w:abstractNumId="2">
    <w:nsid w:val="7F74696A"/>
    <w:multiLevelType w:val="multilevel"/>
    <w:tmpl w:val="7F74696A"/>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HorizontalSpacing w:val="118"/>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iMzNjMmY3N2JlZmVhYTkwMjFmNDk5ODg4N2JmNGEifQ=="/>
  </w:docVars>
  <w:rsids>
    <w:rsidRoot w:val="000906AE"/>
    <w:rsid w:val="000906AE"/>
    <w:rsid w:val="000A7742"/>
    <w:rsid w:val="00195B7C"/>
    <w:rsid w:val="0021763A"/>
    <w:rsid w:val="003312BD"/>
    <w:rsid w:val="00367C5B"/>
    <w:rsid w:val="00386FF5"/>
    <w:rsid w:val="00480F73"/>
    <w:rsid w:val="004A4DDC"/>
    <w:rsid w:val="004A702D"/>
    <w:rsid w:val="004B4F99"/>
    <w:rsid w:val="004C48C4"/>
    <w:rsid w:val="004E3E77"/>
    <w:rsid w:val="005B266F"/>
    <w:rsid w:val="006A0260"/>
    <w:rsid w:val="006A3FC0"/>
    <w:rsid w:val="00720154"/>
    <w:rsid w:val="007315FE"/>
    <w:rsid w:val="00777724"/>
    <w:rsid w:val="008D4C47"/>
    <w:rsid w:val="008E616A"/>
    <w:rsid w:val="008E61D2"/>
    <w:rsid w:val="00947DAA"/>
    <w:rsid w:val="00973D89"/>
    <w:rsid w:val="00977A31"/>
    <w:rsid w:val="009A294F"/>
    <w:rsid w:val="009A6EBD"/>
    <w:rsid w:val="009D5C2C"/>
    <w:rsid w:val="009F1BAF"/>
    <w:rsid w:val="00B01074"/>
    <w:rsid w:val="00BE5DCB"/>
    <w:rsid w:val="00CC2F1C"/>
    <w:rsid w:val="00CD2BDC"/>
    <w:rsid w:val="00CF47F8"/>
    <w:rsid w:val="00D3646D"/>
    <w:rsid w:val="00DC1247"/>
    <w:rsid w:val="00E72B23"/>
    <w:rsid w:val="00E94ADB"/>
    <w:rsid w:val="00EA19AE"/>
    <w:rsid w:val="00EF301E"/>
    <w:rsid w:val="00F13058"/>
    <w:rsid w:val="00F465AA"/>
    <w:rsid w:val="00F56622"/>
    <w:rsid w:val="00FD2BE8"/>
    <w:rsid w:val="00FE2A28"/>
    <w:rsid w:val="02301050"/>
    <w:rsid w:val="024C362B"/>
    <w:rsid w:val="03513E75"/>
    <w:rsid w:val="03A360DD"/>
    <w:rsid w:val="04C439C5"/>
    <w:rsid w:val="06035862"/>
    <w:rsid w:val="08837036"/>
    <w:rsid w:val="08D13DE0"/>
    <w:rsid w:val="0A5A71BB"/>
    <w:rsid w:val="0AC0410C"/>
    <w:rsid w:val="0BEC67D3"/>
    <w:rsid w:val="0BF26547"/>
    <w:rsid w:val="0CB101B0"/>
    <w:rsid w:val="0E157F4E"/>
    <w:rsid w:val="0E2C5EF6"/>
    <w:rsid w:val="0FAE7B1C"/>
    <w:rsid w:val="100B0A7D"/>
    <w:rsid w:val="104D0F01"/>
    <w:rsid w:val="11393C06"/>
    <w:rsid w:val="12064AFA"/>
    <w:rsid w:val="12573BE4"/>
    <w:rsid w:val="14100E3E"/>
    <w:rsid w:val="14572840"/>
    <w:rsid w:val="15306C44"/>
    <w:rsid w:val="15A42355"/>
    <w:rsid w:val="181F3A7A"/>
    <w:rsid w:val="18A079D6"/>
    <w:rsid w:val="1A5B09D7"/>
    <w:rsid w:val="1B254E43"/>
    <w:rsid w:val="1CC0160D"/>
    <w:rsid w:val="1D294816"/>
    <w:rsid w:val="1E557CE5"/>
    <w:rsid w:val="1F673716"/>
    <w:rsid w:val="1FAF345D"/>
    <w:rsid w:val="20B369F2"/>
    <w:rsid w:val="214F03C2"/>
    <w:rsid w:val="22172DE3"/>
    <w:rsid w:val="22E02E4F"/>
    <w:rsid w:val="243F4B72"/>
    <w:rsid w:val="245D72ED"/>
    <w:rsid w:val="24632B3A"/>
    <w:rsid w:val="25A83AE8"/>
    <w:rsid w:val="26840598"/>
    <w:rsid w:val="27231852"/>
    <w:rsid w:val="273B1F4A"/>
    <w:rsid w:val="28115BE4"/>
    <w:rsid w:val="284671A5"/>
    <w:rsid w:val="29044238"/>
    <w:rsid w:val="290626E8"/>
    <w:rsid w:val="2AC0045D"/>
    <w:rsid w:val="2AEF2177"/>
    <w:rsid w:val="2CBF35C2"/>
    <w:rsid w:val="2D56106B"/>
    <w:rsid w:val="2EC3354B"/>
    <w:rsid w:val="2F5C67F8"/>
    <w:rsid w:val="2F9A744E"/>
    <w:rsid w:val="2FF510DE"/>
    <w:rsid w:val="321F454D"/>
    <w:rsid w:val="32A30816"/>
    <w:rsid w:val="34B178FE"/>
    <w:rsid w:val="352B5E8D"/>
    <w:rsid w:val="355B56A8"/>
    <w:rsid w:val="359D2372"/>
    <w:rsid w:val="35D61006"/>
    <w:rsid w:val="36F31D21"/>
    <w:rsid w:val="37555D0A"/>
    <w:rsid w:val="382F3EAA"/>
    <w:rsid w:val="3A1E0333"/>
    <w:rsid w:val="3AC20250"/>
    <w:rsid w:val="3B3E428B"/>
    <w:rsid w:val="3B9434F9"/>
    <w:rsid w:val="3BBC0E27"/>
    <w:rsid w:val="3C7E6D01"/>
    <w:rsid w:val="3C80098D"/>
    <w:rsid w:val="3DC14AF3"/>
    <w:rsid w:val="3E080A51"/>
    <w:rsid w:val="3EF231E0"/>
    <w:rsid w:val="420A7D97"/>
    <w:rsid w:val="43086345"/>
    <w:rsid w:val="444A0FC6"/>
    <w:rsid w:val="45CD3922"/>
    <w:rsid w:val="472C4B80"/>
    <w:rsid w:val="47E05777"/>
    <w:rsid w:val="4A757FDE"/>
    <w:rsid w:val="4A78106B"/>
    <w:rsid w:val="4BBF003B"/>
    <w:rsid w:val="4CD36A83"/>
    <w:rsid w:val="4D097B29"/>
    <w:rsid w:val="4E04688C"/>
    <w:rsid w:val="4E656105"/>
    <w:rsid w:val="4F993927"/>
    <w:rsid w:val="4FD1565D"/>
    <w:rsid w:val="50562472"/>
    <w:rsid w:val="50BE73E5"/>
    <w:rsid w:val="50DB65CF"/>
    <w:rsid w:val="520F74FD"/>
    <w:rsid w:val="52A61FD7"/>
    <w:rsid w:val="568E74DF"/>
    <w:rsid w:val="57A5409B"/>
    <w:rsid w:val="58805ED3"/>
    <w:rsid w:val="598A5DD5"/>
    <w:rsid w:val="5DBA2715"/>
    <w:rsid w:val="5FB8480E"/>
    <w:rsid w:val="603F1B4A"/>
    <w:rsid w:val="64397DD4"/>
    <w:rsid w:val="64480E9D"/>
    <w:rsid w:val="65AA2E10"/>
    <w:rsid w:val="65E45FB9"/>
    <w:rsid w:val="665E177B"/>
    <w:rsid w:val="66684D3A"/>
    <w:rsid w:val="668F4817"/>
    <w:rsid w:val="66C25A40"/>
    <w:rsid w:val="67925A10"/>
    <w:rsid w:val="68650157"/>
    <w:rsid w:val="68CC0A92"/>
    <w:rsid w:val="68D17586"/>
    <w:rsid w:val="69776FDC"/>
    <w:rsid w:val="698E1FFC"/>
    <w:rsid w:val="69A54C3F"/>
    <w:rsid w:val="6A73706A"/>
    <w:rsid w:val="6D3B07AF"/>
    <w:rsid w:val="6E056B89"/>
    <w:rsid w:val="6FB3309D"/>
    <w:rsid w:val="6FC34F4E"/>
    <w:rsid w:val="700A132F"/>
    <w:rsid w:val="71503EB9"/>
    <w:rsid w:val="71E26F41"/>
    <w:rsid w:val="724F7F77"/>
    <w:rsid w:val="75686A02"/>
    <w:rsid w:val="75D05FEE"/>
    <w:rsid w:val="77C2771F"/>
    <w:rsid w:val="78DB6A5E"/>
    <w:rsid w:val="794251B4"/>
    <w:rsid w:val="7AA634A2"/>
    <w:rsid w:val="7BF553A3"/>
    <w:rsid w:val="7D60437E"/>
    <w:rsid w:val="7DC8117A"/>
    <w:rsid w:val="7DDC6F1A"/>
    <w:rsid w:val="7ECB29F9"/>
    <w:rsid w:val="7F5C67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2">
    <w:name w:val="heading 3"/>
    <w:basedOn w:val="1"/>
    <w:next w:val="1"/>
    <w:qFormat/>
    <w:uiPriority w:val="0"/>
    <w:pPr>
      <w:keepNext/>
      <w:keepLines/>
      <w:spacing w:before="120" w:after="120" w:line="360" w:lineRule="auto"/>
      <w:ind w:firstLine="200" w:firstLineChars="200"/>
      <w:outlineLvl w:val="2"/>
    </w:pPr>
    <w:rPr>
      <w:rFonts w:eastAsia="黑体"/>
      <w:bCs/>
      <w:sz w:val="3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2"/>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4"/>
    <w:next w:val="4"/>
    <w:link w:val="13"/>
    <w:qFormat/>
    <w:uiPriority w:val="0"/>
    <w:rPr>
      <w:b/>
      <w:bCs/>
    </w:rPr>
  </w:style>
  <w:style w:type="character" w:styleId="11">
    <w:name w:val="annotation reference"/>
    <w:basedOn w:val="10"/>
    <w:qFormat/>
    <w:uiPriority w:val="0"/>
    <w:rPr>
      <w:sz w:val="21"/>
      <w:szCs w:val="21"/>
    </w:rPr>
  </w:style>
  <w:style w:type="character" w:customStyle="1" w:styleId="12">
    <w:name w:val="批注文字 Char"/>
    <w:basedOn w:val="10"/>
    <w:link w:val="4"/>
    <w:qFormat/>
    <w:uiPriority w:val="0"/>
    <w:rPr>
      <w:rFonts w:asciiTheme="minorHAnsi" w:hAnsiTheme="minorHAnsi" w:eastAsiaTheme="minorEastAsia" w:cstheme="minorBidi"/>
      <w:kern w:val="2"/>
      <w:sz w:val="21"/>
      <w:szCs w:val="24"/>
    </w:rPr>
  </w:style>
  <w:style w:type="character" w:customStyle="1" w:styleId="13">
    <w:name w:val="批注主题 Char"/>
    <w:basedOn w:val="12"/>
    <w:link w:val="8"/>
    <w:qFormat/>
    <w:uiPriority w:val="0"/>
    <w:rPr>
      <w:rFonts w:asciiTheme="minorHAnsi" w:hAnsiTheme="minorHAnsi" w:eastAsiaTheme="minorEastAsia" w:cstheme="minorBidi"/>
      <w:b/>
      <w:bCs/>
      <w:kern w:val="2"/>
      <w:sz w:val="21"/>
      <w:szCs w:val="24"/>
    </w:rPr>
  </w:style>
  <w:style w:type="character" w:customStyle="1" w:styleId="14">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15">
    <w:name w:val="NormalCharacter"/>
    <w:semiHidden/>
    <w:qFormat/>
    <w:uiPriority w:val="0"/>
    <w:rPr>
      <w:rFonts w:asciiTheme="minorHAnsi" w:hAnsiTheme="minorHAnsi" w:eastAsiaTheme="minorEastAsia" w:cstheme="minorBidi"/>
      <w:kern w:val="2"/>
      <w:sz w:val="21"/>
      <w:szCs w:val="24"/>
      <w:lang w:val="en-US" w:eastAsia="zh-CN" w:bidi="ar-SA"/>
    </w:rPr>
  </w:style>
  <w:style w:type="paragraph" w:styleId="16">
    <w:name w:val="List Paragraph"/>
    <w:basedOn w:val="1"/>
    <w:qFormat/>
    <w:uiPriority w:val="99"/>
    <w:pPr>
      <w:ind w:firstLine="420" w:firstLineChars="200"/>
    </w:pPr>
    <w:rPr>
      <w:rFonts w:ascii="Calibri" w:hAnsi="Calibri"/>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7648</Words>
  <Characters>8462</Characters>
  <Lines>73</Lines>
  <Paragraphs>20</Paragraphs>
  <TotalTime>1</TotalTime>
  <ScaleCrop>false</ScaleCrop>
  <LinksUpToDate>false</LinksUpToDate>
  <CharactersWithSpaces>8528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2020-09-24T03:34:00Z</dcterms:created>
  <dc:creator>Administrator</dc:creator>
  <cp:lastModifiedBy>潘晓清</cp:lastModifiedBy>
  <cp:lastPrinted>2023-07-18T06:49:00Z</cp:lastPrinted>
  <dcterms:modified xsi:type="dcterms:W3CDTF">2023-07-19T02:38:10Z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00C47A77D1724666934C6FFFBC8F2025_13</vt:lpwstr>
  </property>
</Properties>
</file>