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cs="宋体"/>
          <w:sz w:val="44"/>
          <w:szCs w:val="44"/>
        </w:rPr>
      </w:pPr>
      <w:bookmarkStart w:id="0" w:name="_Hlk140593594"/>
      <w:bookmarkEnd w:id="0"/>
    </w:p>
    <w:p>
      <w:pPr>
        <w:ind w:firstLine="0" w:firstLineChars="0"/>
        <w:jc w:val="center"/>
        <w:rPr>
          <w:rFonts w:cs="宋体"/>
          <w:sz w:val="44"/>
          <w:szCs w:val="44"/>
        </w:rPr>
      </w:pPr>
    </w:p>
    <w:p>
      <w:pPr>
        <w:ind w:firstLine="0" w:firstLineChars="0"/>
        <w:rPr>
          <w:rFonts w:cs="宋体"/>
          <w:sz w:val="44"/>
          <w:szCs w:val="44"/>
        </w:rPr>
      </w:pPr>
    </w:p>
    <w:p>
      <w:pPr>
        <w:ind w:firstLine="0" w:firstLineChars="0"/>
        <w:jc w:val="center"/>
        <w:rPr>
          <w:rFonts w:eastAsia="方正小标宋简体" w:cs="宋体"/>
          <w:sz w:val="52"/>
          <w:szCs w:val="52"/>
        </w:rPr>
      </w:pPr>
      <w:r>
        <w:rPr>
          <w:rFonts w:hint="eastAsia" w:eastAsia="方正小标宋简体" w:cs="宋体"/>
          <w:sz w:val="52"/>
          <w:szCs w:val="52"/>
        </w:rPr>
        <w:t>河源市东源县202</w:t>
      </w:r>
      <w:r>
        <w:rPr>
          <w:rFonts w:eastAsia="方正小标宋简体" w:cs="宋体"/>
          <w:sz w:val="52"/>
          <w:szCs w:val="52"/>
        </w:rPr>
        <w:t>2</w:t>
      </w:r>
      <w:r>
        <w:rPr>
          <w:rFonts w:hint="eastAsia" w:eastAsia="方正小标宋简体" w:cs="宋体"/>
          <w:sz w:val="52"/>
          <w:szCs w:val="52"/>
        </w:rPr>
        <w:t>年度土地征收</w:t>
      </w:r>
    </w:p>
    <w:p>
      <w:pPr>
        <w:pStyle w:val="2"/>
        <w:rPr>
          <w:rFonts w:eastAsia="方正小标宋简体" w:cs="宋体"/>
          <w:sz w:val="52"/>
          <w:szCs w:val="52"/>
        </w:rPr>
      </w:pPr>
      <w:r>
        <w:rPr>
          <w:rFonts w:hint="eastAsia" w:eastAsia="方正小标宋简体" w:cs="宋体"/>
          <w:sz w:val="52"/>
          <w:szCs w:val="52"/>
        </w:rPr>
        <w:t>成片开发方案（调整）</w:t>
      </w:r>
    </w:p>
    <w:p>
      <w:pPr>
        <w:pStyle w:val="2"/>
        <w:rPr>
          <w:rFonts w:eastAsia="方正小标宋简体" w:cs="宋体"/>
          <w:sz w:val="52"/>
          <w:szCs w:val="52"/>
        </w:rPr>
      </w:pPr>
      <w:r>
        <w:rPr>
          <w:rFonts w:hint="eastAsia" w:eastAsia="方正小标宋简体" w:cs="宋体"/>
          <w:sz w:val="52"/>
          <w:szCs w:val="52"/>
        </w:rPr>
        <w:t>（公示草案）</w:t>
      </w:r>
    </w:p>
    <w:p>
      <w:pPr>
        <w:ind w:firstLine="0" w:firstLineChars="0"/>
        <w:rPr>
          <w:rFonts w:eastAsia="方正小标宋简体"/>
        </w:rPr>
      </w:pPr>
    </w:p>
    <w:p>
      <w:pPr>
        <w:pStyle w:val="14"/>
        <w:ind w:firstLine="0" w:firstLineChars="0"/>
        <w:rPr>
          <w:rFonts w:eastAsia="方正小标宋简体"/>
        </w:rPr>
      </w:pPr>
    </w:p>
    <w:p>
      <w:pPr>
        <w:pStyle w:val="14"/>
        <w:ind w:firstLine="0" w:firstLineChars="0"/>
        <w:rPr>
          <w:rFonts w:eastAsia="方正小标宋简体"/>
        </w:rPr>
      </w:pPr>
    </w:p>
    <w:p>
      <w:pPr>
        <w:pStyle w:val="14"/>
        <w:ind w:firstLine="0" w:firstLineChars="0"/>
        <w:rPr>
          <w:rFonts w:eastAsia="方正小标宋简体"/>
        </w:rPr>
      </w:pPr>
    </w:p>
    <w:p>
      <w:pPr>
        <w:pStyle w:val="14"/>
        <w:ind w:firstLine="0" w:firstLineChars="0"/>
        <w:rPr>
          <w:rFonts w:eastAsia="方正小标宋简体"/>
        </w:rPr>
      </w:pPr>
    </w:p>
    <w:p>
      <w:pPr>
        <w:pStyle w:val="14"/>
        <w:ind w:firstLine="0" w:firstLineChars="0"/>
        <w:rPr>
          <w:rFonts w:eastAsia="方正小标宋简体"/>
        </w:rPr>
      </w:pPr>
    </w:p>
    <w:p>
      <w:pPr>
        <w:pStyle w:val="14"/>
        <w:ind w:firstLine="0" w:firstLineChars="0"/>
        <w:rPr>
          <w:rFonts w:eastAsia="方正小标宋简体"/>
        </w:rPr>
      </w:pPr>
    </w:p>
    <w:p>
      <w:pPr>
        <w:pStyle w:val="14"/>
        <w:ind w:firstLine="0" w:firstLineChars="0"/>
        <w:rPr>
          <w:rFonts w:eastAsia="方正小标宋简体"/>
        </w:rPr>
      </w:pPr>
    </w:p>
    <w:p>
      <w:pPr>
        <w:ind w:firstLine="0" w:firstLineChars="0"/>
        <w:rPr>
          <w:rFonts w:eastAsia="方正小标宋简体" w:cs="宋体"/>
        </w:rPr>
      </w:pPr>
    </w:p>
    <w:p>
      <w:pPr>
        <w:ind w:firstLine="0" w:firstLineChars="0"/>
        <w:rPr>
          <w:rFonts w:eastAsia="方正小标宋简体" w:cs="宋体"/>
        </w:rPr>
      </w:pPr>
    </w:p>
    <w:p>
      <w:pPr>
        <w:ind w:firstLine="0" w:firstLineChars="0"/>
        <w:rPr>
          <w:rFonts w:eastAsia="方正小标宋简体" w:cs="宋体"/>
        </w:rPr>
      </w:pPr>
    </w:p>
    <w:p>
      <w:pPr>
        <w:ind w:firstLine="0" w:firstLineChars="0"/>
        <w:jc w:val="center"/>
        <w:rPr>
          <w:rFonts w:eastAsia="方正小标宋简体"/>
          <w:sz w:val="32"/>
          <w:szCs w:val="32"/>
        </w:rPr>
      </w:pPr>
      <w:r>
        <w:rPr>
          <w:rFonts w:hint="eastAsia" w:eastAsia="方正小标宋简体"/>
          <w:sz w:val="32"/>
          <w:szCs w:val="32"/>
        </w:rPr>
        <w:t>东源县人民政府</w:t>
      </w:r>
    </w:p>
    <w:p>
      <w:pPr>
        <w:ind w:firstLine="0" w:firstLineChars="0"/>
        <w:jc w:val="center"/>
      </w:pPr>
      <w:r>
        <w:rPr>
          <w:rFonts w:hint="eastAsia" w:eastAsia="方正小标宋简体"/>
          <w:bCs/>
          <w:sz w:val="32"/>
          <w:szCs w:val="32"/>
        </w:rPr>
        <w:t>二</w:t>
      </w:r>
      <w:r>
        <w:rPr>
          <w:rFonts w:hint="eastAsia" w:ascii="宋体" w:hAnsi="宋体" w:eastAsia="宋体" w:cs="宋体"/>
          <w:bCs/>
          <w:sz w:val="32"/>
          <w:szCs w:val="32"/>
        </w:rPr>
        <w:t>〇</w:t>
      </w:r>
      <w:r>
        <w:rPr>
          <w:rFonts w:hint="eastAsia" w:eastAsia="方正小标宋简体" w:cs="方正小标宋简体"/>
          <w:bCs/>
          <w:sz w:val="32"/>
          <w:szCs w:val="32"/>
        </w:rPr>
        <w:t>二三年十</w:t>
      </w:r>
      <w:r>
        <w:rPr>
          <w:rFonts w:hint="eastAsia" w:eastAsia="方正小标宋简体" w:cs="方正小标宋简体"/>
          <w:bCs/>
          <w:sz w:val="32"/>
          <w:szCs w:val="32"/>
          <w:lang w:val="en-US" w:eastAsia="zh-CN"/>
        </w:rPr>
        <w:t>二</w:t>
      </w:r>
      <w:r>
        <w:rPr>
          <w:rFonts w:hint="eastAsia" w:eastAsia="方正小标宋简体" w:cs="方正小标宋简体"/>
          <w:bCs/>
          <w:sz w:val="32"/>
          <w:szCs w:val="32"/>
        </w:rPr>
        <w:t>月</w:t>
      </w:r>
      <w:r>
        <w:rPr>
          <w:rFonts w:hint="eastAsia" w:eastAsia="方正小标宋简体" w:cs="宋体"/>
          <w:bCs/>
        </w:rPr>
        <w:br w:type="page"/>
      </w:r>
    </w:p>
    <w:sdt>
      <w:sdtPr>
        <w:rPr>
          <w:b/>
          <w:bCs/>
          <w:sz w:val="32"/>
          <w:szCs w:val="32"/>
        </w:rPr>
        <w:id w:val="147467199"/>
        <w15:color w:val="DBDBDB"/>
        <w:docPartObj>
          <w:docPartGallery w:val="Table of Contents"/>
          <w:docPartUnique/>
        </w:docPartObj>
      </w:sdtPr>
      <w:sdtEndPr>
        <w:rPr>
          <w:rFonts w:hint="eastAsia" w:cs="宋体"/>
          <w:b/>
          <w:bCs/>
          <w:sz w:val="28"/>
          <w:szCs w:val="24"/>
        </w:rPr>
      </w:sdtEndPr>
      <w:sdtContent>
        <w:p>
          <w:pPr>
            <w:spacing w:line="240" w:lineRule="auto"/>
            <w:ind w:firstLine="0" w:firstLineChars="0"/>
            <w:jc w:val="center"/>
            <w:rPr>
              <w:b/>
              <w:bCs/>
              <w:sz w:val="32"/>
              <w:szCs w:val="32"/>
            </w:rPr>
          </w:pPr>
          <w:r>
            <w:rPr>
              <w:b/>
              <w:bCs/>
              <w:sz w:val="32"/>
              <w:szCs w:val="32"/>
            </w:rPr>
            <w:t>目</w:t>
          </w:r>
          <w:r>
            <w:rPr>
              <w:rFonts w:hint="eastAsia"/>
              <w:b/>
              <w:bCs/>
              <w:sz w:val="32"/>
              <w:szCs w:val="32"/>
            </w:rPr>
            <w:t xml:space="preserve">  </w:t>
          </w:r>
          <w:r>
            <w:rPr>
              <w:b/>
              <w:bCs/>
              <w:sz w:val="32"/>
              <w:szCs w:val="32"/>
            </w:rPr>
            <w:t>录</w:t>
          </w:r>
        </w:p>
        <w:p>
          <w:pPr>
            <w:pStyle w:val="18"/>
            <w:tabs>
              <w:tab w:val="right" w:leader="dot" w:pos="8306"/>
              <w:tab w:val="clear" w:pos="8296"/>
            </w:tabs>
          </w:pPr>
          <w:r>
            <w:rPr>
              <w:rFonts w:hint="eastAsia" w:cs="宋体"/>
            </w:rPr>
            <w:fldChar w:fldCharType="begin"/>
          </w:r>
          <w:r>
            <w:rPr>
              <w:rFonts w:hint="eastAsia" w:cs="宋体"/>
            </w:rPr>
            <w:instrText xml:space="preserve">TOC \o "1-2" \h \u </w:instrText>
          </w:r>
          <w:r>
            <w:rPr>
              <w:rFonts w:hint="eastAsia" w:cs="宋体"/>
            </w:rPr>
            <w:fldChar w:fldCharType="separate"/>
          </w:r>
          <w:r>
            <w:fldChar w:fldCharType="begin"/>
          </w:r>
          <w:r>
            <w:instrText xml:space="preserve"> HYPERLINK \l "_Toc21977" </w:instrText>
          </w:r>
          <w:r>
            <w:fldChar w:fldCharType="separate"/>
          </w:r>
          <w:r>
            <w:rPr>
              <w:rFonts w:hint="eastAsia" w:ascii="仿宋_GB2312" w:hAnsi="仿宋_GB2312" w:cs="仿宋_GB2312"/>
            </w:rPr>
            <w:t>第一章 概述</w:t>
          </w:r>
          <w:r>
            <w:tab/>
          </w:r>
          <w:r>
            <w:fldChar w:fldCharType="begin"/>
          </w:r>
          <w:r>
            <w:instrText xml:space="preserve"> PAGEREF _Toc21977 \h </w:instrText>
          </w:r>
          <w:r>
            <w:fldChar w:fldCharType="separate"/>
          </w:r>
          <w:r>
            <w:t>1</w:t>
          </w:r>
          <w:r>
            <w:fldChar w:fldCharType="end"/>
          </w:r>
          <w:r>
            <w:fldChar w:fldCharType="end"/>
          </w:r>
        </w:p>
        <w:p>
          <w:pPr>
            <w:pStyle w:val="19"/>
            <w:tabs>
              <w:tab w:val="right" w:leader="dot" w:pos="8306"/>
              <w:tab w:val="clear" w:pos="8296"/>
            </w:tabs>
          </w:pPr>
          <w:r>
            <w:fldChar w:fldCharType="begin"/>
          </w:r>
          <w:r>
            <w:instrText xml:space="preserve"> HYPERLINK \l "_Toc12813" </w:instrText>
          </w:r>
          <w:r>
            <w:fldChar w:fldCharType="separate"/>
          </w:r>
          <w:r>
            <w:rPr>
              <w:rFonts w:hint="eastAsia"/>
            </w:rPr>
            <w:t>一、方案调整背景</w:t>
          </w:r>
          <w:r>
            <w:tab/>
          </w:r>
          <w:r>
            <w:fldChar w:fldCharType="begin"/>
          </w:r>
          <w:r>
            <w:instrText xml:space="preserve"> PAGEREF _Toc12813 \h </w:instrText>
          </w:r>
          <w:r>
            <w:fldChar w:fldCharType="separate"/>
          </w:r>
          <w:r>
            <w:t>1</w:t>
          </w:r>
          <w:r>
            <w:fldChar w:fldCharType="end"/>
          </w:r>
          <w:r>
            <w:fldChar w:fldCharType="end"/>
          </w:r>
        </w:p>
        <w:p>
          <w:pPr>
            <w:pStyle w:val="19"/>
            <w:tabs>
              <w:tab w:val="right" w:leader="dot" w:pos="8306"/>
              <w:tab w:val="clear" w:pos="8296"/>
            </w:tabs>
          </w:pPr>
          <w:r>
            <w:fldChar w:fldCharType="begin"/>
          </w:r>
          <w:r>
            <w:instrText xml:space="preserve"> HYPERLINK \l "_Toc1846" </w:instrText>
          </w:r>
          <w:r>
            <w:fldChar w:fldCharType="separate"/>
          </w:r>
          <w:r>
            <w:rPr>
              <w:rFonts w:hint="eastAsia"/>
            </w:rPr>
            <w:t>二、方案调整原则</w:t>
          </w:r>
          <w:r>
            <w:tab/>
          </w:r>
          <w:r>
            <w:fldChar w:fldCharType="begin"/>
          </w:r>
          <w:r>
            <w:instrText xml:space="preserve"> PAGEREF _Toc1846 \h </w:instrText>
          </w:r>
          <w:r>
            <w:fldChar w:fldCharType="separate"/>
          </w:r>
          <w:r>
            <w:t>3</w:t>
          </w:r>
          <w:r>
            <w:fldChar w:fldCharType="end"/>
          </w:r>
          <w:r>
            <w:fldChar w:fldCharType="end"/>
          </w:r>
        </w:p>
        <w:p>
          <w:pPr>
            <w:pStyle w:val="19"/>
            <w:tabs>
              <w:tab w:val="right" w:leader="dot" w:pos="8306"/>
              <w:tab w:val="clear" w:pos="8296"/>
            </w:tabs>
          </w:pPr>
          <w:r>
            <w:fldChar w:fldCharType="begin"/>
          </w:r>
          <w:r>
            <w:instrText xml:space="preserve"> HYPERLINK \l "_Toc20508" </w:instrText>
          </w:r>
          <w:r>
            <w:fldChar w:fldCharType="separate"/>
          </w:r>
          <w:r>
            <w:rPr>
              <w:rFonts w:hint="eastAsia"/>
            </w:rPr>
            <w:t>三、方案调整依据</w:t>
          </w:r>
          <w:r>
            <w:tab/>
          </w:r>
          <w:r>
            <w:fldChar w:fldCharType="begin"/>
          </w:r>
          <w:r>
            <w:instrText xml:space="preserve"> PAGEREF _Toc20508 \h </w:instrText>
          </w:r>
          <w:r>
            <w:fldChar w:fldCharType="separate"/>
          </w:r>
          <w:r>
            <w:t>3</w:t>
          </w:r>
          <w:r>
            <w:fldChar w:fldCharType="end"/>
          </w:r>
          <w:r>
            <w:fldChar w:fldCharType="end"/>
          </w:r>
        </w:p>
        <w:p>
          <w:pPr>
            <w:pStyle w:val="18"/>
            <w:tabs>
              <w:tab w:val="right" w:leader="dot" w:pos="8306"/>
              <w:tab w:val="clear" w:pos="8296"/>
            </w:tabs>
          </w:pPr>
          <w:r>
            <w:fldChar w:fldCharType="begin"/>
          </w:r>
          <w:r>
            <w:instrText xml:space="preserve"> HYPERLINK \l "_Toc19260" </w:instrText>
          </w:r>
          <w:r>
            <w:fldChar w:fldCharType="separate"/>
          </w:r>
          <w:r>
            <w:rPr>
              <w:rFonts w:hint="eastAsia"/>
            </w:rPr>
            <w:t>第二章 基本情况</w:t>
          </w:r>
          <w:r>
            <w:tab/>
          </w:r>
          <w:r>
            <w:fldChar w:fldCharType="begin"/>
          </w:r>
          <w:r>
            <w:instrText xml:space="preserve"> PAGEREF _Toc19260 \h </w:instrText>
          </w:r>
          <w:r>
            <w:fldChar w:fldCharType="separate"/>
          </w:r>
          <w:r>
            <w:t>6</w:t>
          </w:r>
          <w:r>
            <w:fldChar w:fldCharType="end"/>
          </w:r>
          <w:r>
            <w:fldChar w:fldCharType="end"/>
          </w:r>
        </w:p>
        <w:p>
          <w:pPr>
            <w:pStyle w:val="19"/>
            <w:tabs>
              <w:tab w:val="right" w:leader="dot" w:pos="8306"/>
              <w:tab w:val="clear" w:pos="8296"/>
            </w:tabs>
          </w:pPr>
          <w:r>
            <w:fldChar w:fldCharType="begin"/>
          </w:r>
          <w:r>
            <w:instrText xml:space="preserve"> HYPERLINK \l "_Toc2963" </w:instrText>
          </w:r>
          <w:r>
            <w:fldChar w:fldCharType="separate"/>
          </w:r>
          <w:r>
            <w:rPr>
              <w:rFonts w:hint="eastAsia" w:cs="宋体"/>
            </w:rPr>
            <w:t>一、东源县概况</w:t>
          </w:r>
          <w:r>
            <w:tab/>
          </w:r>
          <w:r>
            <w:fldChar w:fldCharType="begin"/>
          </w:r>
          <w:r>
            <w:instrText xml:space="preserve"> PAGEREF _Toc2963 \h </w:instrText>
          </w:r>
          <w:r>
            <w:fldChar w:fldCharType="separate"/>
          </w:r>
          <w:r>
            <w:t>6</w:t>
          </w:r>
          <w:r>
            <w:fldChar w:fldCharType="end"/>
          </w:r>
          <w:r>
            <w:fldChar w:fldCharType="end"/>
          </w:r>
        </w:p>
        <w:p>
          <w:pPr>
            <w:pStyle w:val="19"/>
            <w:tabs>
              <w:tab w:val="right" w:leader="dot" w:pos="8306"/>
              <w:tab w:val="clear" w:pos="8296"/>
            </w:tabs>
          </w:pPr>
          <w:r>
            <w:fldChar w:fldCharType="begin"/>
          </w:r>
          <w:r>
            <w:instrText xml:space="preserve"> HYPERLINK \l "_Toc23513" </w:instrText>
          </w:r>
          <w:r>
            <w:fldChar w:fldCharType="separate"/>
          </w:r>
          <w:r>
            <w:rPr>
              <w:rFonts w:hint="eastAsia" w:cs="宋体"/>
            </w:rPr>
            <w:t>二、调整前成片开发方案基本情况</w:t>
          </w:r>
          <w:r>
            <w:tab/>
          </w:r>
          <w:r>
            <w:fldChar w:fldCharType="begin"/>
          </w:r>
          <w:r>
            <w:instrText xml:space="preserve"> PAGEREF _Toc23513 \h </w:instrText>
          </w:r>
          <w:r>
            <w:fldChar w:fldCharType="separate"/>
          </w:r>
          <w:r>
            <w:t>6</w:t>
          </w:r>
          <w:r>
            <w:fldChar w:fldCharType="end"/>
          </w:r>
          <w:r>
            <w:fldChar w:fldCharType="end"/>
          </w:r>
        </w:p>
        <w:p>
          <w:pPr>
            <w:pStyle w:val="19"/>
            <w:tabs>
              <w:tab w:val="right" w:leader="dot" w:pos="8306"/>
              <w:tab w:val="clear" w:pos="8296"/>
            </w:tabs>
          </w:pPr>
          <w:r>
            <w:fldChar w:fldCharType="begin"/>
          </w:r>
          <w:r>
            <w:instrText xml:space="preserve"> HYPERLINK \l "_Toc981" </w:instrText>
          </w:r>
          <w:r>
            <w:fldChar w:fldCharType="separate"/>
          </w:r>
          <w:r>
            <w:t>三、成片开发方案调整情况</w:t>
          </w:r>
          <w:r>
            <w:tab/>
          </w:r>
          <w:r>
            <w:fldChar w:fldCharType="begin"/>
          </w:r>
          <w:r>
            <w:instrText xml:space="preserve"> PAGEREF _Toc981 \h </w:instrText>
          </w:r>
          <w:r>
            <w:fldChar w:fldCharType="separate"/>
          </w:r>
          <w:r>
            <w:t>13</w:t>
          </w:r>
          <w:r>
            <w:fldChar w:fldCharType="end"/>
          </w:r>
          <w:r>
            <w:fldChar w:fldCharType="end"/>
          </w:r>
        </w:p>
        <w:p>
          <w:pPr>
            <w:pStyle w:val="19"/>
            <w:tabs>
              <w:tab w:val="right" w:leader="dot" w:pos="8306"/>
              <w:tab w:val="clear" w:pos="8296"/>
            </w:tabs>
          </w:pPr>
          <w:r>
            <w:fldChar w:fldCharType="begin"/>
          </w:r>
          <w:r>
            <w:instrText xml:space="preserve"> HYPERLINK \l "_Toc7016" </w:instrText>
          </w:r>
          <w:r>
            <w:fldChar w:fldCharType="separate"/>
          </w:r>
          <w:r>
            <w:t>四、调整后成片开发方案基本情况</w:t>
          </w:r>
          <w:r>
            <w:tab/>
          </w:r>
          <w:r>
            <w:fldChar w:fldCharType="begin"/>
          </w:r>
          <w:r>
            <w:instrText xml:space="preserve"> PAGEREF _Toc7016 \h </w:instrText>
          </w:r>
          <w:r>
            <w:fldChar w:fldCharType="separate"/>
          </w:r>
          <w:r>
            <w:t>16</w:t>
          </w:r>
          <w:r>
            <w:fldChar w:fldCharType="end"/>
          </w:r>
          <w:r>
            <w:fldChar w:fldCharType="end"/>
          </w:r>
        </w:p>
        <w:p>
          <w:pPr>
            <w:pStyle w:val="18"/>
            <w:tabs>
              <w:tab w:val="right" w:leader="dot" w:pos="8306"/>
              <w:tab w:val="clear" w:pos="8296"/>
            </w:tabs>
          </w:pPr>
          <w:r>
            <w:fldChar w:fldCharType="begin"/>
          </w:r>
          <w:r>
            <w:instrText xml:space="preserve"> HYPERLINK \l "_Toc22601" </w:instrText>
          </w:r>
          <w:r>
            <w:fldChar w:fldCharType="separate"/>
          </w:r>
          <w:r>
            <w:rPr>
              <w:rFonts w:hint="eastAsia"/>
            </w:rPr>
            <w:t>第三章 成片开发的必要性、主要用途和实现功能</w:t>
          </w:r>
          <w:r>
            <w:tab/>
          </w:r>
          <w:r>
            <w:fldChar w:fldCharType="begin"/>
          </w:r>
          <w:r>
            <w:instrText xml:space="preserve"> PAGEREF _Toc22601 \h </w:instrText>
          </w:r>
          <w:r>
            <w:fldChar w:fldCharType="separate"/>
          </w:r>
          <w:r>
            <w:t>19</w:t>
          </w:r>
          <w:r>
            <w:fldChar w:fldCharType="end"/>
          </w:r>
          <w:r>
            <w:fldChar w:fldCharType="end"/>
          </w:r>
        </w:p>
        <w:p>
          <w:pPr>
            <w:pStyle w:val="19"/>
            <w:tabs>
              <w:tab w:val="right" w:leader="dot" w:pos="8306"/>
              <w:tab w:val="clear" w:pos="8296"/>
            </w:tabs>
          </w:pPr>
          <w:r>
            <w:fldChar w:fldCharType="begin"/>
          </w:r>
          <w:r>
            <w:instrText xml:space="preserve"> HYPERLINK \l "_Toc16452" </w:instrText>
          </w:r>
          <w:r>
            <w:fldChar w:fldCharType="separate"/>
          </w:r>
          <w:r>
            <w:rPr>
              <w:rFonts w:hint="eastAsia"/>
            </w:rPr>
            <w:t>一、必要性分析</w:t>
          </w:r>
          <w:r>
            <w:tab/>
          </w:r>
          <w:r>
            <w:fldChar w:fldCharType="begin"/>
          </w:r>
          <w:r>
            <w:instrText xml:space="preserve"> PAGEREF _Toc16452 \h </w:instrText>
          </w:r>
          <w:r>
            <w:fldChar w:fldCharType="separate"/>
          </w:r>
          <w:r>
            <w:t>19</w:t>
          </w:r>
          <w:r>
            <w:fldChar w:fldCharType="end"/>
          </w:r>
          <w:r>
            <w:fldChar w:fldCharType="end"/>
          </w:r>
        </w:p>
        <w:p>
          <w:pPr>
            <w:pStyle w:val="19"/>
            <w:tabs>
              <w:tab w:val="right" w:leader="dot" w:pos="8306"/>
              <w:tab w:val="clear" w:pos="8296"/>
            </w:tabs>
          </w:pPr>
          <w:r>
            <w:fldChar w:fldCharType="begin"/>
          </w:r>
          <w:r>
            <w:instrText xml:space="preserve"> HYPERLINK \l "_Toc28716" </w:instrText>
          </w:r>
          <w:r>
            <w:fldChar w:fldCharType="separate"/>
          </w:r>
          <w:r>
            <w:rPr>
              <w:rFonts w:hint="eastAsia"/>
            </w:rPr>
            <w:t>二、土地用途与实现功能</w:t>
          </w:r>
          <w:r>
            <w:tab/>
          </w:r>
          <w:r>
            <w:fldChar w:fldCharType="begin"/>
          </w:r>
          <w:r>
            <w:instrText xml:space="preserve"> PAGEREF _Toc28716 \h </w:instrText>
          </w:r>
          <w:r>
            <w:fldChar w:fldCharType="separate"/>
          </w:r>
          <w:r>
            <w:t>20</w:t>
          </w:r>
          <w:r>
            <w:fldChar w:fldCharType="end"/>
          </w:r>
          <w:r>
            <w:fldChar w:fldCharType="end"/>
          </w:r>
        </w:p>
        <w:p>
          <w:pPr>
            <w:pStyle w:val="18"/>
            <w:tabs>
              <w:tab w:val="right" w:leader="dot" w:pos="8306"/>
              <w:tab w:val="clear" w:pos="8296"/>
            </w:tabs>
          </w:pPr>
          <w:r>
            <w:fldChar w:fldCharType="begin"/>
          </w:r>
          <w:r>
            <w:instrText xml:space="preserve"> HYPERLINK \l "_Toc7642" </w:instrText>
          </w:r>
          <w:r>
            <w:fldChar w:fldCharType="separate"/>
          </w:r>
          <w:r>
            <w:rPr>
              <w:rFonts w:hint="eastAsia"/>
            </w:rPr>
            <w:t>第四章 可行性分析</w:t>
          </w:r>
          <w:r>
            <w:tab/>
          </w:r>
          <w:r>
            <w:fldChar w:fldCharType="begin"/>
          </w:r>
          <w:r>
            <w:instrText xml:space="preserve"> PAGEREF _Toc7642 \h </w:instrText>
          </w:r>
          <w:r>
            <w:fldChar w:fldCharType="separate"/>
          </w:r>
          <w:r>
            <w:t>21</w:t>
          </w:r>
          <w:r>
            <w:fldChar w:fldCharType="end"/>
          </w:r>
          <w:r>
            <w:fldChar w:fldCharType="end"/>
          </w:r>
        </w:p>
        <w:p>
          <w:pPr>
            <w:pStyle w:val="19"/>
            <w:tabs>
              <w:tab w:val="right" w:leader="dot" w:pos="8306"/>
              <w:tab w:val="clear" w:pos="8296"/>
            </w:tabs>
          </w:pPr>
          <w:r>
            <w:fldChar w:fldCharType="begin"/>
          </w:r>
          <w:r>
            <w:instrText xml:space="preserve"> HYPERLINK \l "_Toc15821" </w:instrText>
          </w:r>
          <w:r>
            <w:fldChar w:fldCharType="separate"/>
          </w:r>
          <w:r>
            <w:rPr>
              <w:rFonts w:hint="eastAsia" w:cs="宋体"/>
            </w:rPr>
            <w:t>一、与相关规划符合性分析</w:t>
          </w:r>
          <w:r>
            <w:tab/>
          </w:r>
          <w:r>
            <w:fldChar w:fldCharType="begin"/>
          </w:r>
          <w:r>
            <w:instrText xml:space="preserve"> PAGEREF _Toc15821 \h </w:instrText>
          </w:r>
          <w:r>
            <w:fldChar w:fldCharType="separate"/>
          </w:r>
          <w:r>
            <w:t>21</w:t>
          </w:r>
          <w:r>
            <w:fldChar w:fldCharType="end"/>
          </w:r>
          <w:r>
            <w:fldChar w:fldCharType="end"/>
          </w:r>
        </w:p>
        <w:p>
          <w:pPr>
            <w:pStyle w:val="19"/>
            <w:tabs>
              <w:tab w:val="right" w:leader="dot" w:pos="8306"/>
              <w:tab w:val="clear" w:pos="8296"/>
            </w:tabs>
          </w:pPr>
          <w:r>
            <w:fldChar w:fldCharType="begin"/>
          </w:r>
          <w:r>
            <w:instrText xml:space="preserve"> HYPERLINK \l "_Toc32624" </w:instrText>
          </w:r>
          <w:r>
            <w:fldChar w:fldCharType="separate"/>
          </w:r>
          <w:r>
            <w:rPr>
              <w:rFonts w:hint="eastAsia" w:cs="宋体"/>
            </w:rPr>
            <w:t>二、与相关政策符合性分析</w:t>
          </w:r>
          <w:r>
            <w:tab/>
          </w:r>
          <w:r>
            <w:fldChar w:fldCharType="begin"/>
          </w:r>
          <w:r>
            <w:instrText xml:space="preserve"> PAGEREF _Toc32624 \h </w:instrText>
          </w:r>
          <w:r>
            <w:fldChar w:fldCharType="separate"/>
          </w:r>
          <w:r>
            <w:t>22</w:t>
          </w:r>
          <w:r>
            <w:fldChar w:fldCharType="end"/>
          </w:r>
          <w:r>
            <w:fldChar w:fldCharType="end"/>
          </w:r>
        </w:p>
        <w:p>
          <w:pPr>
            <w:pStyle w:val="19"/>
            <w:tabs>
              <w:tab w:val="right" w:leader="dot" w:pos="8306"/>
              <w:tab w:val="clear" w:pos="8296"/>
            </w:tabs>
          </w:pPr>
          <w:r>
            <w:fldChar w:fldCharType="begin"/>
          </w:r>
          <w:r>
            <w:instrText xml:space="preserve"> HYPERLINK \l "_Toc16580" </w:instrText>
          </w:r>
          <w:r>
            <w:fldChar w:fldCharType="separate"/>
          </w:r>
          <w:r>
            <w:rPr>
              <w:rFonts w:hint="eastAsia" w:cs="Times New Roman"/>
            </w:rPr>
            <w:t>三、占用现状耕地情况分析</w:t>
          </w:r>
          <w:r>
            <w:tab/>
          </w:r>
          <w:r>
            <w:fldChar w:fldCharType="begin"/>
          </w:r>
          <w:r>
            <w:instrText xml:space="preserve"> PAGEREF _Toc16580 \h </w:instrText>
          </w:r>
          <w:r>
            <w:fldChar w:fldCharType="separate"/>
          </w:r>
          <w:r>
            <w:t>24</w:t>
          </w:r>
          <w:r>
            <w:fldChar w:fldCharType="end"/>
          </w:r>
          <w:r>
            <w:fldChar w:fldCharType="end"/>
          </w:r>
        </w:p>
        <w:p>
          <w:pPr>
            <w:pStyle w:val="19"/>
            <w:tabs>
              <w:tab w:val="right" w:leader="dot" w:pos="8306"/>
              <w:tab w:val="clear" w:pos="8296"/>
            </w:tabs>
          </w:pPr>
          <w:r>
            <w:fldChar w:fldCharType="begin"/>
          </w:r>
          <w:r>
            <w:instrText xml:space="preserve"> HYPERLINK \l "_Toc27130" </w:instrText>
          </w:r>
          <w:r>
            <w:fldChar w:fldCharType="separate"/>
          </w:r>
          <w:r>
            <w:rPr>
              <w:rFonts w:hint="eastAsia" w:cs="宋体"/>
            </w:rPr>
            <w:t>四、与征地安置补偿措施的衔接情况分析</w:t>
          </w:r>
          <w:r>
            <w:tab/>
          </w:r>
          <w:r>
            <w:fldChar w:fldCharType="begin"/>
          </w:r>
          <w:r>
            <w:instrText xml:space="preserve"> PAGEREF _Toc27130 \h </w:instrText>
          </w:r>
          <w:r>
            <w:fldChar w:fldCharType="separate"/>
          </w:r>
          <w:r>
            <w:t>24</w:t>
          </w:r>
          <w:r>
            <w:fldChar w:fldCharType="end"/>
          </w:r>
          <w:r>
            <w:fldChar w:fldCharType="end"/>
          </w:r>
        </w:p>
        <w:p>
          <w:pPr>
            <w:pStyle w:val="18"/>
            <w:tabs>
              <w:tab w:val="right" w:leader="dot" w:pos="8306"/>
              <w:tab w:val="clear" w:pos="8296"/>
            </w:tabs>
          </w:pPr>
          <w:r>
            <w:fldChar w:fldCharType="begin"/>
          </w:r>
          <w:r>
            <w:instrText xml:space="preserve"> HYPERLINK \l "_Toc26354" </w:instrText>
          </w:r>
          <w:r>
            <w:fldChar w:fldCharType="separate"/>
          </w:r>
          <w:r>
            <w:rPr>
              <w:rFonts w:hint="eastAsia"/>
            </w:rPr>
            <w:t>第五章 实施计划</w:t>
          </w:r>
          <w:r>
            <w:tab/>
          </w:r>
          <w:r>
            <w:fldChar w:fldCharType="begin"/>
          </w:r>
          <w:r>
            <w:instrText xml:space="preserve"> PAGEREF _Toc26354 \h </w:instrText>
          </w:r>
          <w:r>
            <w:fldChar w:fldCharType="separate"/>
          </w:r>
          <w:r>
            <w:t>25</w:t>
          </w:r>
          <w:r>
            <w:fldChar w:fldCharType="end"/>
          </w:r>
          <w:r>
            <w:fldChar w:fldCharType="end"/>
          </w:r>
        </w:p>
        <w:p>
          <w:pPr>
            <w:pStyle w:val="19"/>
            <w:tabs>
              <w:tab w:val="right" w:leader="dot" w:pos="8306"/>
              <w:tab w:val="clear" w:pos="8296"/>
            </w:tabs>
          </w:pPr>
          <w:r>
            <w:fldChar w:fldCharType="begin"/>
          </w:r>
          <w:r>
            <w:instrText xml:space="preserve"> HYPERLINK \l "_Toc1455" </w:instrText>
          </w:r>
          <w:r>
            <w:fldChar w:fldCharType="separate"/>
          </w:r>
          <w:r>
            <w:rPr>
              <w:rFonts w:hint="eastAsia" w:cs="宋体"/>
            </w:rPr>
            <w:t>一、项目安排</w:t>
          </w:r>
          <w:r>
            <w:tab/>
          </w:r>
          <w:r>
            <w:fldChar w:fldCharType="begin"/>
          </w:r>
          <w:r>
            <w:instrText xml:space="preserve"> PAGEREF _Toc1455 \h </w:instrText>
          </w:r>
          <w:r>
            <w:fldChar w:fldCharType="separate"/>
          </w:r>
          <w:r>
            <w:t>25</w:t>
          </w:r>
          <w:r>
            <w:fldChar w:fldCharType="end"/>
          </w:r>
          <w:r>
            <w:fldChar w:fldCharType="end"/>
          </w:r>
        </w:p>
        <w:p>
          <w:pPr>
            <w:pStyle w:val="19"/>
            <w:tabs>
              <w:tab w:val="right" w:leader="dot" w:pos="8306"/>
              <w:tab w:val="clear" w:pos="8296"/>
            </w:tabs>
          </w:pPr>
          <w:r>
            <w:fldChar w:fldCharType="begin"/>
          </w:r>
          <w:r>
            <w:instrText xml:space="preserve"> HYPERLINK \l "_Toc10810" </w:instrText>
          </w:r>
          <w:r>
            <w:fldChar w:fldCharType="separate"/>
          </w:r>
          <w:r>
            <w:rPr>
              <w:rFonts w:hint="eastAsia" w:cs="宋体"/>
            </w:rPr>
            <w:t>二、开发时序与实施计划</w:t>
          </w:r>
          <w:r>
            <w:tab/>
          </w:r>
          <w:r>
            <w:fldChar w:fldCharType="begin"/>
          </w:r>
          <w:r>
            <w:instrText xml:space="preserve"> PAGEREF _Toc10810 \h </w:instrText>
          </w:r>
          <w:r>
            <w:fldChar w:fldCharType="separate"/>
          </w:r>
          <w:r>
            <w:t>25</w:t>
          </w:r>
          <w:r>
            <w:fldChar w:fldCharType="end"/>
          </w:r>
          <w:r>
            <w:fldChar w:fldCharType="end"/>
          </w:r>
        </w:p>
        <w:p>
          <w:pPr>
            <w:pStyle w:val="18"/>
            <w:tabs>
              <w:tab w:val="right" w:leader="dot" w:pos="8306"/>
              <w:tab w:val="clear" w:pos="8296"/>
            </w:tabs>
          </w:pPr>
          <w:r>
            <w:fldChar w:fldCharType="begin"/>
          </w:r>
          <w:r>
            <w:instrText xml:space="preserve"> HYPERLINK \l "_Toc13635" </w:instrText>
          </w:r>
          <w:r>
            <w:fldChar w:fldCharType="separate"/>
          </w:r>
          <w:r>
            <w:rPr>
              <w:rFonts w:hint="eastAsia" w:cs="宋体"/>
            </w:rPr>
            <w:t>第六章 成片开发效益评估</w:t>
          </w:r>
          <w:r>
            <w:tab/>
          </w:r>
          <w:r>
            <w:fldChar w:fldCharType="begin"/>
          </w:r>
          <w:r>
            <w:instrText xml:space="preserve"> PAGEREF _Toc13635 \h </w:instrText>
          </w:r>
          <w:r>
            <w:fldChar w:fldCharType="separate"/>
          </w:r>
          <w:r>
            <w:t>26</w:t>
          </w:r>
          <w:r>
            <w:fldChar w:fldCharType="end"/>
          </w:r>
          <w:r>
            <w:fldChar w:fldCharType="end"/>
          </w:r>
        </w:p>
        <w:p>
          <w:pPr>
            <w:pStyle w:val="19"/>
            <w:tabs>
              <w:tab w:val="right" w:leader="dot" w:pos="8306"/>
              <w:tab w:val="clear" w:pos="8296"/>
            </w:tabs>
          </w:pPr>
          <w:r>
            <w:fldChar w:fldCharType="begin"/>
          </w:r>
          <w:r>
            <w:instrText xml:space="preserve"> HYPERLINK \l "_Toc31067" </w:instrText>
          </w:r>
          <w:r>
            <w:fldChar w:fldCharType="separate"/>
          </w:r>
          <w:r>
            <w:rPr>
              <w:rFonts w:hint="eastAsia" w:cs="宋体"/>
            </w:rPr>
            <w:t>一、土地利用效益评估</w:t>
          </w:r>
          <w:r>
            <w:tab/>
          </w:r>
          <w:r>
            <w:fldChar w:fldCharType="begin"/>
          </w:r>
          <w:r>
            <w:instrText xml:space="preserve"> PAGEREF _Toc31067 \h </w:instrText>
          </w:r>
          <w:r>
            <w:fldChar w:fldCharType="separate"/>
          </w:r>
          <w:r>
            <w:t>26</w:t>
          </w:r>
          <w:r>
            <w:fldChar w:fldCharType="end"/>
          </w:r>
          <w:r>
            <w:fldChar w:fldCharType="end"/>
          </w:r>
        </w:p>
        <w:p>
          <w:pPr>
            <w:pStyle w:val="19"/>
            <w:tabs>
              <w:tab w:val="right" w:leader="dot" w:pos="8306"/>
              <w:tab w:val="clear" w:pos="8296"/>
            </w:tabs>
          </w:pPr>
          <w:r>
            <w:fldChar w:fldCharType="begin"/>
          </w:r>
          <w:r>
            <w:instrText xml:space="preserve"> HYPERLINK \l "_Toc20461" </w:instrText>
          </w:r>
          <w:r>
            <w:fldChar w:fldCharType="separate"/>
          </w:r>
          <w:r>
            <w:rPr>
              <w:rFonts w:hint="eastAsia" w:cs="宋体"/>
            </w:rPr>
            <w:t>二、经济效益评估</w:t>
          </w:r>
          <w:r>
            <w:tab/>
          </w:r>
          <w:r>
            <w:fldChar w:fldCharType="begin"/>
          </w:r>
          <w:r>
            <w:instrText xml:space="preserve"> PAGEREF _Toc20461 \h </w:instrText>
          </w:r>
          <w:r>
            <w:fldChar w:fldCharType="separate"/>
          </w:r>
          <w:r>
            <w:t>26</w:t>
          </w:r>
          <w:r>
            <w:fldChar w:fldCharType="end"/>
          </w:r>
          <w:r>
            <w:fldChar w:fldCharType="end"/>
          </w:r>
        </w:p>
        <w:p>
          <w:pPr>
            <w:pStyle w:val="19"/>
            <w:tabs>
              <w:tab w:val="right" w:leader="dot" w:pos="8306"/>
              <w:tab w:val="clear" w:pos="8296"/>
            </w:tabs>
          </w:pPr>
          <w:r>
            <w:fldChar w:fldCharType="begin"/>
          </w:r>
          <w:r>
            <w:instrText xml:space="preserve"> HYPERLINK \l "_Toc11352" </w:instrText>
          </w:r>
          <w:r>
            <w:fldChar w:fldCharType="separate"/>
          </w:r>
          <w:r>
            <w:rPr>
              <w:rFonts w:hint="eastAsia" w:cs="宋体"/>
            </w:rPr>
            <w:t>三、社会效益评估</w:t>
          </w:r>
          <w:r>
            <w:tab/>
          </w:r>
          <w:r>
            <w:fldChar w:fldCharType="begin"/>
          </w:r>
          <w:r>
            <w:instrText xml:space="preserve"> PAGEREF _Toc11352 \h </w:instrText>
          </w:r>
          <w:r>
            <w:fldChar w:fldCharType="separate"/>
          </w:r>
          <w:r>
            <w:t>26</w:t>
          </w:r>
          <w:r>
            <w:fldChar w:fldCharType="end"/>
          </w:r>
          <w:r>
            <w:fldChar w:fldCharType="end"/>
          </w:r>
        </w:p>
        <w:p>
          <w:pPr>
            <w:pStyle w:val="19"/>
            <w:tabs>
              <w:tab w:val="right" w:leader="dot" w:pos="8306"/>
              <w:tab w:val="clear" w:pos="8296"/>
            </w:tabs>
          </w:pPr>
          <w:r>
            <w:fldChar w:fldCharType="begin"/>
          </w:r>
          <w:r>
            <w:instrText xml:space="preserve"> HYPERLINK \l "_Toc23715" </w:instrText>
          </w:r>
          <w:r>
            <w:fldChar w:fldCharType="separate"/>
          </w:r>
          <w:r>
            <w:rPr>
              <w:rFonts w:hint="eastAsia" w:cs="宋体"/>
            </w:rPr>
            <w:t>四、生态效益评估</w:t>
          </w:r>
          <w:r>
            <w:tab/>
          </w:r>
          <w:r>
            <w:fldChar w:fldCharType="begin"/>
          </w:r>
          <w:r>
            <w:instrText xml:space="preserve"> PAGEREF _Toc23715 \h </w:instrText>
          </w:r>
          <w:r>
            <w:fldChar w:fldCharType="separate"/>
          </w:r>
          <w:r>
            <w:t>27</w:t>
          </w:r>
          <w:r>
            <w:fldChar w:fldCharType="end"/>
          </w:r>
          <w:r>
            <w:fldChar w:fldCharType="end"/>
          </w:r>
        </w:p>
        <w:p>
          <w:pPr>
            <w:pStyle w:val="18"/>
            <w:tabs>
              <w:tab w:val="right" w:leader="dot" w:pos="8306"/>
              <w:tab w:val="clear" w:pos="8296"/>
            </w:tabs>
          </w:pPr>
          <w:r>
            <w:fldChar w:fldCharType="begin"/>
          </w:r>
          <w:r>
            <w:instrText xml:space="preserve"> HYPERLINK \l "_Toc2377" </w:instrText>
          </w:r>
          <w:r>
            <w:fldChar w:fldCharType="separate"/>
          </w:r>
          <w:r>
            <w:rPr>
              <w:rFonts w:hint="eastAsia"/>
            </w:rPr>
            <w:t>第七章 结论</w:t>
          </w:r>
          <w:r>
            <w:tab/>
          </w:r>
          <w:r>
            <w:fldChar w:fldCharType="begin"/>
          </w:r>
          <w:r>
            <w:instrText xml:space="preserve"> PAGEREF _Toc2377 \h </w:instrText>
          </w:r>
          <w:r>
            <w:fldChar w:fldCharType="separate"/>
          </w:r>
          <w:r>
            <w:t>28</w:t>
          </w:r>
          <w:r>
            <w:fldChar w:fldCharType="end"/>
          </w:r>
          <w:r>
            <w:fldChar w:fldCharType="end"/>
          </w:r>
        </w:p>
        <w:p>
          <w:pPr>
            <w:pStyle w:val="18"/>
            <w:tabs>
              <w:tab w:val="right" w:leader="dot" w:pos="8306"/>
              <w:tab w:val="clear" w:pos="8296"/>
            </w:tabs>
          </w:pPr>
          <w:r>
            <w:fldChar w:fldCharType="begin"/>
          </w:r>
          <w:r>
            <w:instrText xml:space="preserve"> HYPERLINK \l "_Toc24629" </w:instrText>
          </w:r>
          <w:r>
            <w:fldChar w:fldCharType="separate"/>
          </w:r>
          <w:r>
            <w:rPr>
              <w:rFonts w:hint="eastAsia" w:cs="仿宋"/>
              <w:kern w:val="0"/>
              <w:szCs w:val="32"/>
            </w:rPr>
            <w:t>第八章 附图</w:t>
          </w:r>
          <w:r>
            <w:tab/>
          </w:r>
          <w:r>
            <w:fldChar w:fldCharType="begin"/>
          </w:r>
          <w:r>
            <w:instrText xml:space="preserve"> PAGEREF _Toc24629 \h </w:instrText>
          </w:r>
          <w:r>
            <w:fldChar w:fldCharType="separate"/>
          </w:r>
          <w:r>
            <w:t>30</w:t>
          </w:r>
          <w:r>
            <w:fldChar w:fldCharType="end"/>
          </w:r>
          <w:r>
            <w:fldChar w:fldCharType="end"/>
          </w:r>
        </w:p>
        <w:p>
          <w:pPr>
            <w:ind w:firstLine="0" w:firstLineChars="0"/>
            <w:rPr>
              <w:rFonts w:cs="宋体"/>
            </w:rPr>
          </w:pPr>
          <w:r>
            <w:rPr>
              <w:rFonts w:hint="eastAsia" w:cs="宋体"/>
            </w:rPr>
            <w:fldChar w:fldCharType="end"/>
          </w:r>
        </w:p>
      </w:sdtContent>
    </w:sdt>
    <w:p>
      <w:pPr>
        <w:pStyle w:val="3"/>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1440" w:right="1800" w:bottom="1440" w:left="1800" w:header="851" w:footer="992" w:gutter="0"/>
          <w:cols w:space="425" w:num="1"/>
          <w:docGrid w:type="lines" w:linePitch="312" w:charSpace="0"/>
        </w:sectPr>
      </w:pPr>
    </w:p>
    <w:p>
      <w:pPr>
        <w:pStyle w:val="3"/>
        <w:rPr>
          <w:rFonts w:ascii="仿宋_GB2312" w:hAnsi="仿宋_GB2312" w:cs="仿宋_GB2312"/>
        </w:rPr>
      </w:pPr>
      <w:bookmarkStart w:id="1" w:name="_Toc21977"/>
      <w:r>
        <w:rPr>
          <w:rFonts w:hint="eastAsia" w:ascii="仿宋_GB2312" w:hAnsi="仿宋_GB2312" w:cs="仿宋_GB2312"/>
        </w:rPr>
        <w:t>第一章 概述</w:t>
      </w:r>
      <w:bookmarkEnd w:id="1"/>
    </w:p>
    <w:p>
      <w:pPr>
        <w:pStyle w:val="4"/>
      </w:pPr>
      <w:bookmarkStart w:id="2" w:name="_Toc12813"/>
      <w:r>
        <w:rPr>
          <w:rFonts w:hint="eastAsia"/>
        </w:rPr>
        <w:t>一、方案调整背景</w:t>
      </w:r>
      <w:bookmarkEnd w:id="2"/>
    </w:p>
    <w:p>
      <w:pPr>
        <w:pStyle w:val="5"/>
      </w:pPr>
      <w:r>
        <w:rPr>
          <w:rFonts w:hint="eastAsia"/>
        </w:rPr>
        <w:t>（一）经济背景</w:t>
      </w:r>
    </w:p>
    <w:p>
      <w:pPr>
        <w:ind w:firstLine="560"/>
      </w:pPr>
      <w:r>
        <w:rPr>
          <w:rFonts w:hint="eastAsia"/>
        </w:rPr>
        <w:t>在国家实施粤港澳大湾区建设和深圳先行示范区建设的“双区驱动”战略背景下，东源县计划全域全面“融湾”“融深”，全力打造承接“双区”高端产业转移新平台，打造“双区”生态健康生活首选地；广东省“一核一带一区”区域发展新格局的加速构建，为东源县扩大有效投资、实现跨越发展提供了机遇；河源市“幸福和谐美丽河源”建设推动东源县城纳入河源市中心城区，与中心城区一体化发展。东源县发展迎来了重大战略机遇和重要窗口期。</w:t>
      </w:r>
    </w:p>
    <w:p>
      <w:pPr>
        <w:ind w:firstLine="560"/>
      </w:pPr>
      <w:r>
        <w:rPr>
          <w:rFonts w:hint="eastAsia"/>
        </w:rPr>
        <w:t>为此，东源县以习近平新时代中国特色社会主义思想总揽改革发展全局，围绕广东省委提出的“1+1+9”发展战略和河源市委提出的建设“幸福和谐美丽河源”战略定位，制定了八大重点任务行动方案，积极谋划现代产业体系构建，全面实施新型城镇化和乡村振兴战略。</w:t>
      </w:r>
    </w:p>
    <w:p>
      <w:pPr>
        <w:ind w:firstLine="0" w:firstLineChars="0"/>
      </w:pPr>
      <w:r>
        <w:rPr>
          <w:rFonts w:hint="eastAsia"/>
        </w:rPr>
        <w:t>东源县人民政府按照河源市、东源县“十四五”规划目标与年度国民经济和社会发展计划，谋划在各片区范围内进行综合性开发建设，编制了东源县202</w:t>
      </w:r>
      <w:r>
        <w:t>2</w:t>
      </w:r>
      <w:r>
        <w:rPr>
          <w:rFonts w:hint="eastAsia"/>
        </w:rPr>
        <w:t>年度土地征收成片开发方案，严格按照方案实施土地征收及建设。因国民经济和社会发展年度计划调整、</w:t>
      </w:r>
      <w:bookmarkStart w:id="3" w:name="_Hlk140649807"/>
      <w:r>
        <w:rPr>
          <w:rFonts w:hint="eastAsia"/>
        </w:rPr>
        <w:t>拟实施项目选址</w:t>
      </w:r>
      <w:bookmarkEnd w:id="3"/>
      <w:r>
        <w:rPr>
          <w:rFonts w:hint="eastAsia"/>
        </w:rPr>
        <w:t>调整等因素影响，东源县202</w:t>
      </w:r>
      <w:r>
        <w:t>2</w:t>
      </w:r>
      <w:r>
        <w:rPr>
          <w:rFonts w:hint="eastAsia"/>
        </w:rPr>
        <w:t>年度土地征收成片开发方案部分地块难以按原计划实施，故需调整东源县202</w:t>
      </w:r>
      <w:r>
        <w:t>2</w:t>
      </w:r>
      <w:r>
        <w:rPr>
          <w:rFonts w:hint="eastAsia"/>
        </w:rPr>
        <w:t>年度土地征收成片开发方案。</w:t>
      </w:r>
    </w:p>
    <w:p>
      <w:pPr>
        <w:pStyle w:val="2"/>
      </w:pPr>
    </w:p>
    <w:p>
      <w:pPr>
        <w:pStyle w:val="2"/>
      </w:pPr>
    </w:p>
    <w:p>
      <w:pPr>
        <w:autoSpaceDN w:val="0"/>
        <w:ind w:left="329" w:firstLine="0" w:firstLineChars="0"/>
        <w:outlineLvl w:val="2"/>
        <w:rPr>
          <w:rFonts w:cs="仿宋"/>
          <w:b/>
          <w:bCs/>
          <w:szCs w:val="28"/>
        </w:rPr>
      </w:pPr>
      <w:r>
        <w:rPr>
          <w:rFonts w:hint="eastAsia" w:cs="仿宋"/>
          <w:b/>
          <w:bCs/>
          <w:szCs w:val="28"/>
        </w:rPr>
        <w:t>（二）政策背景</w:t>
      </w:r>
    </w:p>
    <w:p>
      <w:pPr>
        <w:autoSpaceDN w:val="0"/>
        <w:ind w:firstLine="560"/>
        <w:rPr>
          <w:rFonts w:cs="Times New Roman"/>
          <w:kern w:val="0"/>
          <w:szCs w:val="28"/>
        </w:rPr>
      </w:pPr>
      <w:r>
        <w:rPr>
          <w:rFonts w:cs="Times New Roman"/>
          <w:kern w:val="0"/>
          <w:szCs w:val="28"/>
        </w:rPr>
        <w:t>根据《中华人民共和国土地管理法》</w:t>
      </w:r>
      <w:r>
        <w:rPr>
          <w:rFonts w:hint="eastAsia" w:cs="Times New Roman"/>
          <w:kern w:val="0"/>
          <w:szCs w:val="28"/>
        </w:rPr>
        <w:t>（2019年修正）</w:t>
      </w:r>
      <w:r>
        <w:rPr>
          <w:rFonts w:cs="Times New Roman"/>
          <w:kern w:val="0"/>
          <w:szCs w:val="28"/>
        </w:rPr>
        <w:t>第四十五条规定，</w:t>
      </w:r>
      <w:r>
        <w:rPr>
          <w:rFonts w:hint="eastAsia" w:cs="Times New Roman"/>
          <w:kern w:val="0"/>
          <w:szCs w:val="28"/>
        </w:rPr>
        <w:t>“</w:t>
      </w:r>
      <w:r>
        <w:rPr>
          <w:rFonts w:cs="Times New Roman"/>
          <w:kern w:val="0"/>
          <w:szCs w:val="28"/>
        </w:rPr>
        <w:t>在土地利用总体规划确定的城镇建设用地范围内，经省级人民政府批准由县级以上地方人民政府组织实施的成片开发建设需要用地的，可以依法实施征收</w:t>
      </w:r>
      <w:r>
        <w:rPr>
          <w:rFonts w:hint="eastAsia" w:cs="Times New Roman"/>
          <w:kern w:val="0"/>
          <w:szCs w:val="28"/>
        </w:rPr>
        <w:t>”</w:t>
      </w:r>
      <w:r>
        <w:rPr>
          <w:rFonts w:cs="Times New Roman"/>
          <w:kern w:val="0"/>
          <w:szCs w:val="28"/>
        </w:rPr>
        <w:t>为了落实好《中华人民共和国土地管理法》的授权立法事项，</w:t>
      </w:r>
      <w:r>
        <w:rPr>
          <w:rFonts w:hint="eastAsia" w:cs="Times New Roman"/>
          <w:kern w:val="0"/>
          <w:szCs w:val="28"/>
        </w:rPr>
        <w:t>2023年10月31日《自然资源部关于印发&lt;土地征收成片开发标准&gt;的通知》（自然资规〔2023〕7号），于2023年11月5日正式生效，以下简称“《标准》”，</w:t>
      </w:r>
      <w:r>
        <w:rPr>
          <w:rFonts w:cs="Times New Roman"/>
          <w:kern w:val="0"/>
          <w:szCs w:val="28"/>
        </w:rPr>
        <w:t>《标准》规定成片开发建设需要用地而实施土地征收的，需要编制土地征收成片开发方案，</w:t>
      </w:r>
      <w:r>
        <w:rPr>
          <w:rFonts w:hint="eastAsia" w:cs="Times New Roman"/>
          <w:kern w:val="0"/>
          <w:szCs w:val="28"/>
        </w:rPr>
        <w:t>明确成片开发方案编制内容及要求</w:t>
      </w:r>
      <w:r>
        <w:rPr>
          <w:rFonts w:cs="Times New Roman"/>
          <w:kern w:val="0"/>
          <w:szCs w:val="28"/>
        </w:rPr>
        <w:t>。广东省自然资源厅2021年11月1日发布的《广东省自然资源厅关于规范土地征收成片开发工作的通知》（粤自然资发〔2021〕20号）明确了因国民经济和社会发展年度计划、国土空间规划调整或者其他不可抗力等因素，导致土地征收成片开发方案需要调整的，调整后的成片开发方案报原批准机关审批。</w:t>
      </w:r>
    </w:p>
    <w:p>
      <w:pPr>
        <w:autoSpaceDN w:val="0"/>
        <w:ind w:firstLine="560"/>
        <w:rPr>
          <w:rFonts w:cs="Times New Roman"/>
          <w:kern w:val="0"/>
          <w:szCs w:val="28"/>
        </w:rPr>
      </w:pPr>
      <w:r>
        <w:rPr>
          <w:rFonts w:cs="Times New Roman"/>
          <w:kern w:val="0"/>
          <w:szCs w:val="28"/>
        </w:rPr>
        <w:t>广东省自然资源厅2022年11月1日印发了《广东省委托土地征收成片开发方案审批权实施方案》（粤自然资发〔2022〕12号），规定“确因国民经济和社会发展年度计划、国土空间规划调整或者其他不可抗力等因素，导致部分地块难以实施需要调整土地征收成片开发方案（含委托前批准）的，由各地级以上市人民政府、广州开发区（广州高新区）管委会依据省政府委托进行调整审批，并在批准后5个工作日内将调整后的土地征收方案和调整批复报省自然资源厅备案。</w:t>
      </w:r>
    </w:p>
    <w:p>
      <w:pPr>
        <w:autoSpaceDN w:val="0"/>
        <w:ind w:firstLine="560"/>
        <w:rPr>
          <w:rFonts w:cs="Times New Roman"/>
          <w:kern w:val="0"/>
          <w:szCs w:val="28"/>
        </w:rPr>
      </w:pPr>
      <w:r>
        <w:rPr>
          <w:rFonts w:hint="eastAsia" w:cs="Times New Roman"/>
          <w:kern w:val="0"/>
          <w:szCs w:val="28"/>
        </w:rPr>
        <w:t>2023年3月，广东省自然资源厅印发《广东省自然资源厅关于规范已批土地征收成片开发方案调整工作的通知》（粤自然资函〔2023〕210号），明确了成片开发方案调整的程序，要求“在原批准的成片开发用地相邻周边扩大成片开发用地范围的，调整后的成片开发方案应征求人大代表、政协委员、社会公众、有关专家学者以及成片开发范围内农村集体经济组织和农民的意见，并按要求组织开展专家论证。”</w:t>
      </w:r>
    </w:p>
    <w:p>
      <w:pPr>
        <w:ind w:firstLine="560"/>
      </w:pPr>
      <w:r>
        <w:rPr>
          <w:rFonts w:cs="Times New Roman"/>
          <w:kern w:val="0"/>
          <w:szCs w:val="28"/>
        </w:rPr>
        <w:t>为此，河源市</w:t>
      </w:r>
      <w:r>
        <w:rPr>
          <w:rFonts w:hint="eastAsia" w:cs="Times New Roman"/>
          <w:kern w:val="0"/>
          <w:szCs w:val="28"/>
        </w:rPr>
        <w:t>东源县</w:t>
      </w:r>
      <w:r>
        <w:rPr>
          <w:rFonts w:cs="Times New Roman"/>
          <w:kern w:val="0"/>
          <w:szCs w:val="28"/>
        </w:rPr>
        <w:t>人民政府按照相关文件的要求，充分考虑实际建设发展需求，对河源市</w:t>
      </w:r>
      <w:r>
        <w:rPr>
          <w:rFonts w:hint="eastAsia" w:cs="Times New Roman"/>
          <w:kern w:val="0"/>
          <w:szCs w:val="28"/>
        </w:rPr>
        <w:t>东源县2022年度土地征收</w:t>
      </w:r>
      <w:r>
        <w:rPr>
          <w:rFonts w:cs="Times New Roman"/>
          <w:kern w:val="0"/>
          <w:szCs w:val="28"/>
        </w:rPr>
        <w:t>成片开发方案进行调整，使调整后的成片开发方案</w:t>
      </w:r>
      <w:r>
        <w:rPr>
          <w:rFonts w:hint="eastAsia" w:cs="Times New Roman"/>
          <w:kern w:val="0"/>
          <w:szCs w:val="28"/>
        </w:rPr>
        <w:t>（以下简称《方案调整》）</w:t>
      </w:r>
      <w:r>
        <w:rPr>
          <w:rFonts w:cs="Times New Roman"/>
          <w:kern w:val="0"/>
          <w:szCs w:val="28"/>
        </w:rPr>
        <w:t>更加合理可行。</w:t>
      </w:r>
    </w:p>
    <w:p>
      <w:pPr>
        <w:pStyle w:val="4"/>
      </w:pPr>
      <w:bookmarkStart w:id="4" w:name="_Toc1846"/>
      <w:r>
        <w:rPr>
          <w:rFonts w:hint="eastAsia"/>
        </w:rPr>
        <w:t>二、方案调整原则</w:t>
      </w:r>
      <w:bookmarkEnd w:id="4"/>
    </w:p>
    <w:p>
      <w:pPr>
        <w:ind w:firstLine="560"/>
      </w:pPr>
      <w:r>
        <w:rPr>
          <w:rFonts w:hint="eastAsia"/>
        </w:rPr>
        <w:t>遵守法律法规、维护公共利益原则；科学合理编制、确保开发必要原则；严格保护耕地、保护生态环境、节约集约用地原则。</w:t>
      </w:r>
    </w:p>
    <w:p>
      <w:pPr>
        <w:pStyle w:val="4"/>
      </w:pPr>
      <w:bookmarkStart w:id="5" w:name="_Toc20508"/>
      <w:r>
        <w:rPr>
          <w:rFonts w:hint="eastAsia"/>
        </w:rPr>
        <w:t>三、方案调整依据</w:t>
      </w:r>
      <w:bookmarkEnd w:id="5"/>
    </w:p>
    <w:p>
      <w:pPr>
        <w:pStyle w:val="5"/>
      </w:pPr>
      <w:r>
        <w:rPr>
          <w:rFonts w:hint="eastAsia"/>
        </w:rPr>
        <w:t>（一）法律法规</w:t>
      </w:r>
    </w:p>
    <w:p>
      <w:pPr>
        <w:ind w:left="560" w:leftChars="200" w:firstLine="0" w:firstLineChars="0"/>
      </w:pPr>
      <w:r>
        <w:rPr>
          <w:rFonts w:hint="eastAsia"/>
        </w:rPr>
        <w:t>1.《中华人民共和国土地管理法》（2019年修正）；</w:t>
      </w:r>
    </w:p>
    <w:p>
      <w:pPr>
        <w:ind w:left="560" w:leftChars="200" w:firstLine="0" w:firstLineChars="0"/>
      </w:pPr>
      <w:r>
        <w:rPr>
          <w:rFonts w:hint="eastAsia"/>
        </w:rPr>
        <w:t>2.《中华人民共和国城乡规划法》（2019年修正）；</w:t>
      </w:r>
    </w:p>
    <w:p>
      <w:pPr>
        <w:ind w:left="560" w:leftChars="200" w:firstLine="0" w:firstLineChars="0"/>
      </w:pPr>
      <w:r>
        <w:rPr>
          <w:rFonts w:hint="eastAsia"/>
        </w:rPr>
        <w:t>3.《中华人民共和国土地管理法实施条例》（2021年修订）；</w:t>
      </w:r>
    </w:p>
    <w:p>
      <w:pPr>
        <w:ind w:left="560" w:leftChars="200" w:firstLine="0" w:firstLineChars="0"/>
      </w:pPr>
      <w:r>
        <w:rPr>
          <w:rFonts w:hint="eastAsia"/>
        </w:rPr>
        <w:t>4.《广东省土地管理条例》（2022年8月施行）。</w:t>
      </w:r>
    </w:p>
    <w:p>
      <w:pPr>
        <w:pStyle w:val="5"/>
      </w:pPr>
      <w:r>
        <w:rPr>
          <w:rFonts w:hint="eastAsia"/>
        </w:rPr>
        <w:t>（二）政策文件</w:t>
      </w:r>
    </w:p>
    <w:p>
      <w:pPr>
        <w:ind w:firstLine="560"/>
      </w:pPr>
      <w:r>
        <w:rPr>
          <w:rFonts w:hint="eastAsia"/>
        </w:rPr>
        <w:t>1.《自然资源部关于印发&lt;土地征收成片开发标准&gt;的通知》（自然资规〔202</w:t>
      </w:r>
      <w:r>
        <w:t>3</w:t>
      </w:r>
      <w:r>
        <w:rPr>
          <w:rFonts w:hint="eastAsia"/>
        </w:rPr>
        <w:t>〕</w:t>
      </w:r>
      <w:r>
        <w:t>7</w:t>
      </w:r>
      <w:r>
        <w:rPr>
          <w:rFonts w:hint="eastAsia"/>
        </w:rPr>
        <w:t>号）；</w:t>
      </w:r>
    </w:p>
    <w:p>
      <w:pPr>
        <w:ind w:firstLine="560"/>
      </w:pPr>
      <w:r>
        <w:rPr>
          <w:rFonts w:hint="eastAsia"/>
        </w:rPr>
        <w:t>2.《自然资源部关于印发&lt;国土空间调查、规划、用途管制用地用海分类指南&gt;的通知》（自然资发〔2023〕234号）；</w:t>
      </w:r>
    </w:p>
    <w:p>
      <w:pPr>
        <w:ind w:firstLine="560"/>
      </w:pPr>
      <w:r>
        <w:rPr>
          <w:rFonts w:hint="eastAsia"/>
        </w:rPr>
        <w:t>3.《自然资源部办公厅关于北京等省（区、市）启用“三区三线”划定成果作为报批建设项目用地用海依据的函》（自然资办函〔2022〕2207号）；</w:t>
      </w:r>
    </w:p>
    <w:p>
      <w:pPr>
        <w:ind w:firstLine="560"/>
      </w:pPr>
      <w:r>
        <w:rPr>
          <w:rFonts w:hint="eastAsia"/>
        </w:rPr>
        <w:t>4.《广东省自然资源厅关于进一步明确建设用地审批有关要求的通知》（粤自然资管制〔2021〕1379号）；</w:t>
      </w:r>
    </w:p>
    <w:p>
      <w:pPr>
        <w:ind w:firstLine="560"/>
      </w:pPr>
      <w:r>
        <w:rPr>
          <w:rFonts w:hint="eastAsia"/>
        </w:rPr>
        <w:t>5.《广东省自然资源厅关于规范土地征收成片开发工作的通知》（粤自然资发〔2021〕20号）；</w:t>
      </w:r>
    </w:p>
    <w:p>
      <w:pPr>
        <w:ind w:firstLine="560"/>
      </w:pPr>
      <w:r>
        <w:rPr>
          <w:rFonts w:hint="eastAsia"/>
        </w:rPr>
        <w:t>6.《广东省人民政府关于调整实施一批省级自然资源行政职权事项的决定》（粤府〔2022〕69号）；</w:t>
      </w:r>
    </w:p>
    <w:p>
      <w:pPr>
        <w:ind w:firstLine="560"/>
      </w:pPr>
      <w:r>
        <w:rPr>
          <w:rFonts w:hint="eastAsia"/>
        </w:rPr>
        <w:t>7.《广东省自然资源厅关于印发广东省委托土地征收成片开发方案审批权实施方案的通知》（粤自然资发〔2022〕12号）；</w:t>
      </w:r>
    </w:p>
    <w:p>
      <w:pPr>
        <w:ind w:firstLine="560"/>
      </w:pPr>
      <w:r>
        <w:rPr>
          <w:rFonts w:hint="eastAsia"/>
        </w:rPr>
        <w:t>8.《广东省自然资源厅关于印发土地征收成片开发方案审查要点和模板的通知》（粤自然资管制〔2022〕2745号）；</w:t>
      </w:r>
    </w:p>
    <w:p>
      <w:pPr>
        <w:ind w:firstLine="560"/>
      </w:pPr>
      <w:r>
        <w:rPr>
          <w:rFonts w:hint="eastAsia"/>
        </w:rPr>
        <w:t>9.《广东省自然资源厅关于规范已批土地征收成片开发方案调整工作的通知》（粤自然资函〔2023〕210号）。</w:t>
      </w:r>
    </w:p>
    <w:p>
      <w:pPr>
        <w:pStyle w:val="5"/>
      </w:pPr>
      <w:r>
        <w:rPr>
          <w:rFonts w:hint="eastAsia"/>
        </w:rPr>
        <w:t>（三）相关规划</w:t>
      </w:r>
    </w:p>
    <w:p>
      <w:pPr>
        <w:numPr>
          <w:ilvl w:val="0"/>
          <w:numId w:val="1"/>
        </w:numPr>
        <w:adjustRightInd w:val="0"/>
        <w:ind w:left="0" w:firstLine="560"/>
      </w:pPr>
      <w:r>
        <w:rPr>
          <w:rFonts w:hint="eastAsia"/>
        </w:rPr>
        <w:t>《东源县区国民经济和社会发展第十四个五年规划和2035年远景目标纲要》；</w:t>
      </w:r>
    </w:p>
    <w:p>
      <w:pPr>
        <w:numPr>
          <w:ilvl w:val="0"/>
          <w:numId w:val="1"/>
        </w:numPr>
        <w:adjustRightInd w:val="0"/>
        <w:ind w:left="0" w:firstLine="560"/>
      </w:pPr>
      <w:r>
        <w:rPr>
          <w:rFonts w:hint="eastAsia"/>
        </w:rPr>
        <w:t>《东源县土地利用总体规划（2010-2020年）调整完善方案》；</w:t>
      </w:r>
    </w:p>
    <w:p>
      <w:pPr>
        <w:numPr>
          <w:ilvl w:val="0"/>
          <w:numId w:val="1"/>
        </w:numPr>
        <w:adjustRightInd w:val="0"/>
        <w:ind w:left="0" w:firstLine="560"/>
      </w:pPr>
      <w:r>
        <w:rPr>
          <w:rFonts w:hint="eastAsia"/>
        </w:rPr>
        <w:t>《河源市国土空间总体规划（2021-2035年）》；</w:t>
      </w:r>
    </w:p>
    <w:p>
      <w:pPr>
        <w:numPr>
          <w:ilvl w:val="0"/>
          <w:numId w:val="1"/>
        </w:numPr>
        <w:adjustRightInd w:val="0"/>
        <w:ind w:left="0" w:firstLine="560"/>
        <w:rPr>
          <w:rFonts w:hint="eastAsia"/>
        </w:rPr>
      </w:pPr>
      <w:r>
        <w:rPr>
          <w:rFonts w:hint="eastAsia"/>
        </w:rPr>
        <w:t>《东源县国土空间总体规划（202</w:t>
      </w:r>
      <w:r>
        <w:t>1</w:t>
      </w:r>
      <w:r>
        <w:rPr>
          <w:rFonts w:hint="eastAsia"/>
        </w:rPr>
        <w:t>—2035年）》（在编）</w:t>
      </w:r>
      <w:r>
        <w:rPr>
          <w:rFonts w:hint="eastAsia"/>
          <w:lang w:eastAsia="zh-CN"/>
        </w:rPr>
        <w:t>；</w:t>
      </w:r>
    </w:p>
    <w:p>
      <w:pPr>
        <w:numPr>
          <w:ilvl w:val="0"/>
          <w:numId w:val="1"/>
        </w:numPr>
        <w:adjustRightInd w:val="0"/>
        <w:ind w:left="0" w:firstLine="560"/>
      </w:pPr>
      <w:r>
        <w:rPr>
          <w:rFonts w:hint="eastAsia"/>
        </w:rPr>
        <w:t>《东源县生态环境保护“十四五”规划》；</w:t>
      </w:r>
    </w:p>
    <w:p>
      <w:pPr>
        <w:numPr>
          <w:ilvl w:val="0"/>
          <w:numId w:val="1"/>
        </w:numPr>
        <w:adjustRightInd w:val="0"/>
        <w:ind w:left="0" w:firstLine="560"/>
      </w:pPr>
      <w:r>
        <w:rPr>
          <w:rFonts w:hint="eastAsia"/>
        </w:rPr>
        <w:t>《河源市“三线一单”生态环境分区管控方案》；</w:t>
      </w:r>
    </w:p>
    <w:p>
      <w:pPr>
        <w:numPr>
          <w:ilvl w:val="0"/>
          <w:numId w:val="1"/>
        </w:numPr>
        <w:adjustRightInd w:val="0"/>
        <w:ind w:left="0" w:firstLine="560"/>
      </w:pPr>
      <w:r>
        <w:rPr>
          <w:rFonts w:hint="eastAsia"/>
        </w:rPr>
        <w:t>东源县各成片开发范围控制性详细规划。</w:t>
      </w:r>
    </w:p>
    <w:p>
      <w:pPr>
        <w:pStyle w:val="5"/>
      </w:pPr>
      <w:r>
        <w:rPr>
          <w:rFonts w:hint="eastAsia"/>
        </w:rPr>
        <w:t>（四）相关资料</w:t>
      </w:r>
    </w:p>
    <w:p>
      <w:pPr>
        <w:numPr>
          <w:ilvl w:val="0"/>
          <w:numId w:val="2"/>
        </w:numPr>
        <w:ind w:left="0" w:firstLine="560"/>
      </w:pPr>
      <w:r>
        <w:rPr>
          <w:rFonts w:hint="eastAsia"/>
        </w:rPr>
        <w:t>《东源县202</w:t>
      </w:r>
      <w:r>
        <w:t>1</w:t>
      </w:r>
      <w:r>
        <w:rPr>
          <w:rFonts w:hint="eastAsia"/>
        </w:rPr>
        <w:t>年国民经济和社会发展计划》；</w:t>
      </w:r>
    </w:p>
    <w:p>
      <w:pPr>
        <w:numPr>
          <w:ilvl w:val="0"/>
          <w:numId w:val="2"/>
        </w:numPr>
        <w:ind w:left="0" w:firstLine="560"/>
      </w:pPr>
      <w:r>
        <w:rPr>
          <w:rFonts w:hint="eastAsia"/>
        </w:rPr>
        <w:t>《东源县202</w:t>
      </w:r>
      <w:r>
        <w:t>2</w:t>
      </w:r>
      <w:r>
        <w:rPr>
          <w:rFonts w:hint="eastAsia"/>
        </w:rPr>
        <w:t>年国民经济和社会发展计划》；</w:t>
      </w:r>
    </w:p>
    <w:p>
      <w:pPr>
        <w:numPr>
          <w:ilvl w:val="0"/>
          <w:numId w:val="2"/>
        </w:numPr>
        <w:ind w:left="0" w:firstLine="560"/>
      </w:pPr>
      <w:r>
        <w:rPr>
          <w:rFonts w:hint="eastAsia"/>
        </w:rPr>
        <w:t>东源县2018年度</w:t>
      </w:r>
      <w:r>
        <w:t>耕地质量等别更新评价</w:t>
      </w:r>
      <w:r>
        <w:rPr>
          <w:rFonts w:hint="eastAsia"/>
        </w:rPr>
        <w:t>成果；</w:t>
      </w:r>
    </w:p>
    <w:p>
      <w:pPr>
        <w:numPr>
          <w:ilvl w:val="0"/>
          <w:numId w:val="2"/>
        </w:numPr>
        <w:ind w:left="0" w:firstLine="560"/>
      </w:pPr>
      <w:r>
        <w:rPr>
          <w:rFonts w:hint="eastAsia"/>
        </w:rPr>
        <w:t>东源县2</w:t>
      </w:r>
      <w:r>
        <w:t>022</w:t>
      </w:r>
      <w:r>
        <w:rPr>
          <w:rFonts w:hint="eastAsia"/>
        </w:rPr>
        <w:t>年度国土变更调查成果；</w:t>
      </w:r>
    </w:p>
    <w:p>
      <w:pPr>
        <w:numPr>
          <w:ilvl w:val="0"/>
          <w:numId w:val="2"/>
        </w:numPr>
        <w:ind w:left="0" w:firstLine="560"/>
      </w:pPr>
      <w:r>
        <w:rPr>
          <w:rFonts w:hint="eastAsia"/>
        </w:rPr>
        <w:t>东源县生态保护红线、城镇开发边界、永久基本农田划定成果；</w:t>
      </w:r>
    </w:p>
    <w:p>
      <w:pPr>
        <w:numPr>
          <w:ilvl w:val="0"/>
          <w:numId w:val="2"/>
        </w:numPr>
        <w:ind w:left="0" w:firstLine="560"/>
        <w:sectPr>
          <w:footerReference r:id="rId11" w:type="default"/>
          <w:pgSz w:w="11906" w:h="16838"/>
          <w:pgMar w:top="1440" w:right="1800" w:bottom="1440" w:left="1800" w:header="851" w:footer="992" w:gutter="0"/>
          <w:pgNumType w:start="1"/>
          <w:cols w:space="425" w:num="1"/>
          <w:docGrid w:type="lines" w:linePitch="312" w:charSpace="0"/>
        </w:sectPr>
      </w:pPr>
      <w:r>
        <w:rPr>
          <w:rFonts w:hint="eastAsia"/>
        </w:rPr>
        <w:t>其他相关文件。</w:t>
      </w:r>
      <w:r>
        <w:rPr>
          <w:rFonts w:hint="eastAsia"/>
        </w:rPr>
        <w:br w:type="page"/>
      </w:r>
    </w:p>
    <w:p>
      <w:pPr>
        <w:pStyle w:val="3"/>
      </w:pPr>
      <w:bookmarkStart w:id="6" w:name="_Toc19260"/>
      <w:r>
        <w:rPr>
          <w:rFonts w:hint="eastAsia"/>
        </w:rPr>
        <w:t>第二章 基本情况</w:t>
      </w:r>
      <w:bookmarkEnd w:id="6"/>
    </w:p>
    <w:p>
      <w:pPr>
        <w:pStyle w:val="4"/>
        <w:rPr>
          <w:rFonts w:cs="宋体"/>
        </w:rPr>
      </w:pPr>
      <w:bookmarkStart w:id="7" w:name="_Toc2963"/>
      <w:r>
        <w:rPr>
          <w:rFonts w:hint="eastAsia" w:cs="宋体"/>
        </w:rPr>
        <w:t>一、东源县概况</w:t>
      </w:r>
      <w:bookmarkEnd w:id="7"/>
    </w:p>
    <w:p>
      <w:pPr>
        <w:ind w:firstLine="560"/>
      </w:pPr>
      <w:r>
        <w:rPr>
          <w:rFonts w:hint="eastAsia"/>
        </w:rPr>
        <w:t>东源县，地处广东省东北部，位于河源市中部，东江中上游。地理坐标位于北纬23°22′至24°15′、东经114°19′至115°22′，是广东省地域面积第二大县，总面积4070km</w:t>
      </w:r>
      <w:r>
        <w:rPr>
          <w:rFonts w:hint="eastAsia"/>
          <w:vertAlign w:val="superscript"/>
        </w:rPr>
        <w:t>2</w:t>
      </w:r>
      <w:r>
        <w:rPr>
          <w:rFonts w:hint="eastAsia"/>
        </w:rPr>
        <w:t>，总人口约60万，辖21个乡镇，属客家文化地区。全县地形以丘陵山地为主，地势北高南低，东西两侧多山，丘陵山地面积达2267km</w:t>
      </w:r>
      <w:r>
        <w:rPr>
          <w:rFonts w:hint="eastAsia"/>
          <w:vertAlign w:val="superscript"/>
        </w:rPr>
        <w:t>2</w:t>
      </w:r>
      <w:r>
        <w:rPr>
          <w:rFonts w:hint="eastAsia"/>
        </w:rPr>
        <w:t>，约占全县总面积56%。县境北部为九连山支脉，山势雄伟；南部桂山山脉，于东源县与博罗交界；东南角有鸡笼嶂等山；中部有缺牙山、覆船嶂、牛皮山等山脉；境内海拔1000米以上的山峰有七座。全县森林覆盖率达74.37%，是广东省地域面积第二大的县和北部生态发展区的重要生态屏障。</w:t>
      </w:r>
    </w:p>
    <w:p>
      <w:pPr>
        <w:ind w:firstLine="560"/>
      </w:pPr>
      <w:r>
        <w:rPr>
          <w:rFonts w:hint="eastAsia"/>
        </w:rPr>
        <w:t>东源县是全国首批“绿水青山就是金山银山”实践创新基地。境内京九铁路、粤赣、河梅、汕昆、河惠莞高速等多条交通线路经过，距离广深均约200公里。2021年起赣深高铁、广汕高铁、杭广高铁陆续通车，东源进入粤港澳大湾区1小时生活圈。</w:t>
      </w:r>
    </w:p>
    <w:p>
      <w:pPr>
        <w:pStyle w:val="2"/>
      </w:pPr>
    </w:p>
    <w:p>
      <w:pPr>
        <w:pStyle w:val="4"/>
        <w:rPr>
          <w:rFonts w:cs="宋体"/>
        </w:rPr>
      </w:pPr>
      <w:bookmarkStart w:id="8" w:name="_Toc23513"/>
      <w:r>
        <w:rPr>
          <w:rFonts w:hint="eastAsia" w:cs="宋体"/>
        </w:rPr>
        <w:t>二、调整前成片开发方案基本情况</w:t>
      </w:r>
      <w:bookmarkEnd w:id="8"/>
    </w:p>
    <w:p>
      <w:pPr>
        <w:pStyle w:val="5"/>
      </w:pPr>
      <w:r>
        <w:rPr>
          <w:rFonts w:hint="eastAsia"/>
        </w:rPr>
        <w:t>（一）方案审批情况</w:t>
      </w:r>
    </w:p>
    <w:p>
      <w:pPr>
        <w:ind w:firstLine="560"/>
      </w:pPr>
      <w:r>
        <w:rPr>
          <w:rFonts w:hint="eastAsia"/>
        </w:rPr>
        <w:t>《河源市东源县20</w:t>
      </w:r>
      <w:r>
        <w:t>22</w:t>
      </w:r>
      <w:r>
        <w:rPr>
          <w:rFonts w:hint="eastAsia"/>
        </w:rPr>
        <w:t>年度土地征收成片开发方案》已于2022年</w:t>
      </w:r>
      <w:r>
        <w:t>1</w:t>
      </w:r>
      <w:r>
        <w:rPr>
          <w:rFonts w:hint="eastAsia"/>
        </w:rPr>
        <w:t>2月12日由广东省人民政府委托河源市人民政府代批复，批准文号为“粤府土审成片（08）〔2022〕2号”。</w:t>
      </w:r>
    </w:p>
    <w:p>
      <w:pPr>
        <w:pStyle w:val="5"/>
      </w:pPr>
      <w:r>
        <w:rPr>
          <w:rFonts w:hint="eastAsia"/>
        </w:rPr>
        <w:t>（二）方案片区划定情况</w:t>
      </w:r>
    </w:p>
    <w:p>
      <w:pPr>
        <w:snapToGrid w:val="0"/>
        <w:ind w:firstLine="560"/>
      </w:pPr>
      <w:r>
        <w:rPr>
          <w:rFonts w:hint="eastAsia"/>
        </w:rPr>
        <w:t>调整前，河源市东源县202</w:t>
      </w:r>
      <w:r>
        <w:t>2</w:t>
      </w:r>
      <w:r>
        <w:rPr>
          <w:rFonts w:hint="eastAsia"/>
        </w:rPr>
        <w:t>年度土地征收成片开发方案共划定了7个成片开发范围，成片开发总面积185.0508公顷，土地征收成片开发范围内拟征收集体土地111.7239公顷，占成片开发总面积的60.37%。</w:t>
      </w:r>
    </w:p>
    <w:p>
      <w:pPr>
        <w:pStyle w:val="11"/>
        <w:spacing w:line="240" w:lineRule="auto"/>
      </w:pPr>
      <w:r>
        <w:rPr>
          <w:rFonts w:hint="eastAsia"/>
        </w:rPr>
        <w:t>表2-</w:t>
      </w:r>
      <w:r>
        <w:rPr>
          <w:rFonts w:hint="eastAsia"/>
        </w:rPr>
        <w:fldChar w:fldCharType="begin"/>
      </w:r>
      <w:r>
        <w:rPr>
          <w:rFonts w:hint="eastAsia"/>
        </w:rPr>
        <w:instrText xml:space="preserve"> SEQ 表2- </w:instrText>
      </w:r>
      <w:r>
        <w:rPr>
          <w:rFonts w:hint="eastAsia"/>
        </w:rPr>
        <w:fldChar w:fldCharType="separate"/>
      </w:r>
      <w:r>
        <w:rPr>
          <w:rFonts w:hint="eastAsia"/>
        </w:rPr>
        <w:t>1</w:t>
      </w:r>
      <w:r>
        <w:rPr>
          <w:rFonts w:hint="eastAsia"/>
        </w:rPr>
        <w:fldChar w:fldCharType="end"/>
      </w:r>
      <w:r>
        <w:rPr>
          <w:rFonts w:hint="eastAsia"/>
        </w:rPr>
        <w:t xml:space="preserve"> 调整前成片开发各地块拟征收面积占比统计表</w:t>
      </w:r>
    </w:p>
    <w:p>
      <w:pPr>
        <w:pStyle w:val="11"/>
        <w:snapToGrid w:val="0"/>
        <w:spacing w:line="240" w:lineRule="auto"/>
        <w:jc w:val="right"/>
      </w:pPr>
      <w:r>
        <w:rPr>
          <w:rFonts w:hint="eastAsia"/>
        </w:rPr>
        <w:t>单位：公顷</w:t>
      </w:r>
    </w:p>
    <w:tbl>
      <w:tblPr>
        <w:tblStyle w:val="23"/>
        <w:tblW w:w="8778" w:type="dxa"/>
        <w:tblInd w:w="0" w:type="dxa"/>
        <w:tblLayout w:type="fixed"/>
        <w:tblCellMar>
          <w:top w:w="0" w:type="dxa"/>
          <w:left w:w="108" w:type="dxa"/>
          <w:bottom w:w="0" w:type="dxa"/>
          <w:right w:w="108" w:type="dxa"/>
        </w:tblCellMar>
      </w:tblPr>
      <w:tblGrid>
        <w:gridCol w:w="657"/>
        <w:gridCol w:w="1748"/>
        <w:gridCol w:w="1994"/>
        <w:gridCol w:w="1339"/>
        <w:gridCol w:w="1520"/>
        <w:gridCol w:w="1520"/>
      </w:tblGrid>
      <w:tr>
        <w:tblPrEx>
          <w:tblCellMar>
            <w:top w:w="0" w:type="dxa"/>
            <w:left w:w="108" w:type="dxa"/>
            <w:bottom w:w="0" w:type="dxa"/>
            <w:right w:w="108" w:type="dxa"/>
          </w:tblCellMar>
        </w:tblPrEx>
        <w:trPr>
          <w:trHeight w:val="20" w:hRule="atLeast"/>
          <w:tblHeader/>
        </w:trPr>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_GB2312" w:hAnsi="仿宋_GB2312" w:cs="仿宋_GB2312"/>
                <w:b/>
                <w:bCs/>
                <w:color w:val="000000"/>
                <w:sz w:val="21"/>
                <w:szCs w:val="21"/>
              </w:rPr>
            </w:pPr>
            <w:r>
              <w:rPr>
                <w:rFonts w:hint="eastAsia" w:ascii="仿宋_GB2312" w:hAnsi="仿宋_GB2312" w:cs="仿宋_GB2312"/>
                <w:b/>
                <w:bCs/>
                <w:color w:val="000000"/>
                <w:kern w:val="0"/>
                <w:sz w:val="21"/>
                <w:szCs w:val="21"/>
                <w:lang w:bidi="ar"/>
              </w:rPr>
              <w:t>序号</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_GB2312" w:hAnsi="仿宋_GB2312" w:cs="仿宋_GB2312"/>
                <w:b/>
                <w:bCs/>
                <w:color w:val="000000"/>
                <w:sz w:val="21"/>
                <w:szCs w:val="21"/>
              </w:rPr>
            </w:pPr>
            <w:r>
              <w:rPr>
                <w:rFonts w:hint="eastAsia" w:ascii="仿宋_GB2312" w:hAnsi="仿宋_GB2312" w:cs="仿宋_GB2312"/>
                <w:b/>
                <w:bCs/>
                <w:color w:val="000000"/>
                <w:kern w:val="0"/>
                <w:sz w:val="21"/>
                <w:szCs w:val="21"/>
                <w:lang w:bidi="ar"/>
              </w:rPr>
              <w:t>片区名称</w:t>
            </w:r>
          </w:p>
        </w:tc>
        <w:tc>
          <w:tcPr>
            <w:tcW w:w="1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_GB2312" w:hAnsi="仿宋_GB2312" w:cs="仿宋_GB2312"/>
                <w:b/>
                <w:bCs/>
                <w:color w:val="000000"/>
                <w:sz w:val="21"/>
                <w:szCs w:val="21"/>
              </w:rPr>
            </w:pPr>
            <w:r>
              <w:rPr>
                <w:rFonts w:hint="eastAsia" w:ascii="仿宋_GB2312" w:hAnsi="仿宋_GB2312" w:cs="仿宋_GB2312"/>
                <w:b/>
                <w:bCs/>
                <w:color w:val="000000"/>
                <w:kern w:val="0"/>
                <w:sz w:val="21"/>
                <w:szCs w:val="21"/>
                <w:lang w:bidi="ar"/>
              </w:rPr>
              <w:t>地块名称</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_GB2312" w:hAnsi="仿宋_GB2312" w:cs="仿宋_GB2312"/>
                <w:b/>
                <w:bCs/>
                <w:color w:val="000000"/>
                <w:sz w:val="21"/>
                <w:szCs w:val="21"/>
              </w:rPr>
            </w:pPr>
            <w:r>
              <w:rPr>
                <w:rFonts w:hint="eastAsia" w:ascii="仿宋_GB2312" w:hAnsi="仿宋_GB2312" w:cs="仿宋_GB2312"/>
                <w:b/>
                <w:bCs/>
                <w:color w:val="000000"/>
                <w:kern w:val="0"/>
                <w:sz w:val="21"/>
                <w:szCs w:val="21"/>
                <w:lang w:bidi="ar"/>
              </w:rPr>
              <w:t>地块总面积</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_GB2312" w:hAnsi="仿宋_GB2312" w:cs="仿宋_GB2312"/>
                <w:b/>
                <w:bCs/>
                <w:color w:val="000000"/>
                <w:sz w:val="21"/>
                <w:szCs w:val="21"/>
              </w:rPr>
            </w:pPr>
            <w:r>
              <w:rPr>
                <w:rFonts w:hint="eastAsia" w:ascii="仿宋_GB2312" w:hAnsi="仿宋_GB2312" w:cs="仿宋_GB2312"/>
                <w:b/>
                <w:bCs/>
                <w:color w:val="000000"/>
                <w:kern w:val="0"/>
                <w:sz w:val="21"/>
                <w:szCs w:val="21"/>
                <w:lang w:bidi="ar"/>
              </w:rPr>
              <w:t>拟征收面积</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_GB2312" w:hAnsi="仿宋_GB2312" w:cs="仿宋_GB2312"/>
                <w:b/>
                <w:bCs/>
                <w:color w:val="000000"/>
                <w:sz w:val="21"/>
                <w:szCs w:val="21"/>
              </w:rPr>
            </w:pPr>
            <w:r>
              <w:rPr>
                <w:rFonts w:hint="eastAsia" w:ascii="仿宋_GB2312" w:hAnsi="仿宋_GB2312" w:cs="仿宋_GB2312"/>
                <w:b/>
                <w:bCs/>
                <w:color w:val="000000"/>
                <w:kern w:val="0"/>
                <w:sz w:val="21"/>
                <w:szCs w:val="21"/>
                <w:lang w:bidi="ar"/>
              </w:rPr>
              <w:t>拟征收占比</w:t>
            </w:r>
          </w:p>
        </w:tc>
      </w:tr>
      <w:tr>
        <w:tblPrEx>
          <w:tblCellMar>
            <w:top w:w="0" w:type="dxa"/>
            <w:left w:w="108" w:type="dxa"/>
            <w:bottom w:w="0" w:type="dxa"/>
            <w:right w:w="108" w:type="dxa"/>
          </w:tblCellMar>
        </w:tblPrEx>
        <w:trPr>
          <w:trHeight w:val="20" w:hRule="atLeast"/>
        </w:trPr>
        <w:tc>
          <w:tcPr>
            <w:tcW w:w="65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1</w:t>
            </w:r>
          </w:p>
        </w:tc>
        <w:tc>
          <w:tcPr>
            <w:tcW w:w="174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_GB2312" w:hAnsi="宋体" w:cs="仿宋_GB2312"/>
                <w:color w:val="000000"/>
                <w:sz w:val="21"/>
                <w:szCs w:val="21"/>
              </w:rPr>
            </w:pPr>
            <w:r>
              <w:rPr>
                <w:rFonts w:hint="eastAsia" w:ascii="仿宋_GB2312" w:hAnsi="宋体" w:cs="仿宋_GB2312"/>
                <w:color w:val="000000"/>
                <w:kern w:val="0"/>
                <w:sz w:val="21"/>
                <w:szCs w:val="21"/>
                <w:lang w:bidi="ar"/>
              </w:rPr>
              <w:t>盐东产业转移园片区</w:t>
            </w:r>
          </w:p>
        </w:tc>
        <w:tc>
          <w:tcPr>
            <w:tcW w:w="1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_GB2312" w:hAnsi="宋体" w:cs="仿宋_GB2312"/>
                <w:color w:val="000000"/>
                <w:sz w:val="21"/>
                <w:szCs w:val="21"/>
              </w:rPr>
            </w:pPr>
            <w:r>
              <w:rPr>
                <w:rFonts w:hint="eastAsia" w:ascii="仿宋_GB2312" w:hAnsi="宋体" w:cs="仿宋_GB2312"/>
                <w:color w:val="000000"/>
                <w:kern w:val="0"/>
                <w:sz w:val="21"/>
                <w:szCs w:val="21"/>
                <w:lang w:bidi="ar"/>
              </w:rPr>
              <w:t>地块一</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0.3297</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0.3297</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100.00%</w:t>
            </w:r>
          </w:p>
        </w:tc>
      </w:tr>
      <w:tr>
        <w:tblPrEx>
          <w:tblCellMar>
            <w:top w:w="0" w:type="dxa"/>
            <w:left w:w="108" w:type="dxa"/>
            <w:bottom w:w="0" w:type="dxa"/>
            <w:right w:w="108" w:type="dxa"/>
          </w:tblCellMar>
        </w:tblPrEx>
        <w:trPr>
          <w:trHeight w:val="20" w:hRule="atLeast"/>
        </w:trPr>
        <w:tc>
          <w:tcPr>
            <w:tcW w:w="6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cs="Times New Roman"/>
                <w:color w:val="000000"/>
                <w:sz w:val="21"/>
                <w:szCs w:val="21"/>
              </w:rPr>
            </w:pPr>
          </w:p>
        </w:tc>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ascii="仿宋_GB2312" w:hAnsi="宋体" w:cs="仿宋_GB2312"/>
                <w:color w:val="000000"/>
                <w:sz w:val="21"/>
                <w:szCs w:val="21"/>
              </w:rPr>
            </w:pPr>
          </w:p>
        </w:tc>
        <w:tc>
          <w:tcPr>
            <w:tcW w:w="1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_GB2312" w:hAnsi="宋体" w:cs="仿宋_GB2312"/>
                <w:color w:val="000000"/>
                <w:sz w:val="21"/>
                <w:szCs w:val="21"/>
              </w:rPr>
            </w:pPr>
            <w:r>
              <w:rPr>
                <w:rFonts w:hint="eastAsia" w:ascii="仿宋_GB2312" w:hAnsi="宋体" w:cs="仿宋_GB2312"/>
                <w:color w:val="000000"/>
                <w:kern w:val="0"/>
                <w:sz w:val="21"/>
                <w:szCs w:val="21"/>
                <w:lang w:bidi="ar"/>
              </w:rPr>
              <w:t>地块二</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0.016</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0.0095</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59.38%</w:t>
            </w:r>
          </w:p>
        </w:tc>
      </w:tr>
      <w:tr>
        <w:tblPrEx>
          <w:tblCellMar>
            <w:top w:w="0" w:type="dxa"/>
            <w:left w:w="108" w:type="dxa"/>
            <w:bottom w:w="0" w:type="dxa"/>
            <w:right w:w="108" w:type="dxa"/>
          </w:tblCellMar>
        </w:tblPrEx>
        <w:trPr>
          <w:trHeight w:val="20" w:hRule="atLeast"/>
        </w:trPr>
        <w:tc>
          <w:tcPr>
            <w:tcW w:w="6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cs="Times New Roman"/>
                <w:color w:val="000000"/>
                <w:sz w:val="21"/>
                <w:szCs w:val="21"/>
              </w:rPr>
            </w:pPr>
          </w:p>
        </w:tc>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ascii="仿宋_GB2312" w:hAnsi="宋体" w:cs="仿宋_GB2312"/>
                <w:color w:val="000000"/>
                <w:sz w:val="21"/>
                <w:szCs w:val="21"/>
              </w:rPr>
            </w:pPr>
          </w:p>
        </w:tc>
        <w:tc>
          <w:tcPr>
            <w:tcW w:w="1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_GB2312" w:hAnsi="宋体" w:cs="仿宋_GB2312"/>
                <w:color w:val="000000"/>
                <w:sz w:val="21"/>
                <w:szCs w:val="21"/>
              </w:rPr>
            </w:pPr>
            <w:r>
              <w:rPr>
                <w:rFonts w:hint="eastAsia" w:ascii="仿宋_GB2312" w:hAnsi="宋体" w:cs="仿宋_GB2312"/>
                <w:color w:val="000000"/>
                <w:kern w:val="0"/>
                <w:sz w:val="21"/>
                <w:szCs w:val="21"/>
                <w:lang w:bidi="ar"/>
              </w:rPr>
              <w:t>地块三</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0.0021</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0.0011</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52.38%</w:t>
            </w:r>
          </w:p>
        </w:tc>
      </w:tr>
      <w:tr>
        <w:tblPrEx>
          <w:tblCellMar>
            <w:top w:w="0" w:type="dxa"/>
            <w:left w:w="108" w:type="dxa"/>
            <w:bottom w:w="0" w:type="dxa"/>
            <w:right w:w="108" w:type="dxa"/>
          </w:tblCellMar>
        </w:tblPrEx>
        <w:trPr>
          <w:trHeight w:val="20" w:hRule="atLeast"/>
        </w:trPr>
        <w:tc>
          <w:tcPr>
            <w:tcW w:w="6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cs="Times New Roman"/>
                <w:color w:val="000000"/>
                <w:sz w:val="21"/>
                <w:szCs w:val="21"/>
              </w:rPr>
            </w:pPr>
          </w:p>
        </w:tc>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ascii="仿宋_GB2312" w:hAnsi="宋体" w:cs="仿宋_GB2312"/>
                <w:color w:val="000000"/>
                <w:sz w:val="21"/>
                <w:szCs w:val="21"/>
              </w:rPr>
            </w:pPr>
          </w:p>
        </w:tc>
        <w:tc>
          <w:tcPr>
            <w:tcW w:w="1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_GB2312" w:hAnsi="宋体" w:cs="仿宋_GB2312"/>
                <w:color w:val="000000"/>
                <w:sz w:val="21"/>
                <w:szCs w:val="21"/>
              </w:rPr>
            </w:pPr>
            <w:r>
              <w:rPr>
                <w:rFonts w:hint="eastAsia" w:ascii="仿宋_GB2312" w:hAnsi="宋体" w:cs="仿宋_GB2312"/>
                <w:color w:val="000000"/>
                <w:kern w:val="0"/>
                <w:sz w:val="21"/>
                <w:szCs w:val="21"/>
                <w:lang w:bidi="ar"/>
              </w:rPr>
              <w:t>地块四</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11.2635</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7.8366</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69.58%</w:t>
            </w:r>
          </w:p>
        </w:tc>
      </w:tr>
      <w:tr>
        <w:tblPrEx>
          <w:tblCellMar>
            <w:top w:w="0" w:type="dxa"/>
            <w:left w:w="108" w:type="dxa"/>
            <w:bottom w:w="0" w:type="dxa"/>
            <w:right w:w="108" w:type="dxa"/>
          </w:tblCellMar>
        </w:tblPrEx>
        <w:trPr>
          <w:trHeight w:val="20" w:hRule="atLeast"/>
        </w:trPr>
        <w:tc>
          <w:tcPr>
            <w:tcW w:w="6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cs="Times New Roman"/>
                <w:color w:val="000000"/>
                <w:sz w:val="21"/>
                <w:szCs w:val="21"/>
              </w:rPr>
            </w:pPr>
          </w:p>
        </w:tc>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ascii="仿宋_GB2312" w:hAnsi="宋体" w:cs="仿宋_GB2312"/>
                <w:color w:val="000000"/>
                <w:sz w:val="21"/>
                <w:szCs w:val="21"/>
              </w:rPr>
            </w:pPr>
          </w:p>
        </w:tc>
        <w:tc>
          <w:tcPr>
            <w:tcW w:w="1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_GB2312" w:hAnsi="宋体" w:cs="仿宋_GB2312"/>
                <w:color w:val="000000"/>
                <w:sz w:val="21"/>
                <w:szCs w:val="21"/>
              </w:rPr>
            </w:pPr>
            <w:r>
              <w:rPr>
                <w:rFonts w:hint="eastAsia" w:ascii="仿宋_GB2312" w:hAnsi="宋体" w:cs="仿宋_GB2312"/>
                <w:color w:val="000000"/>
                <w:kern w:val="0"/>
                <w:sz w:val="21"/>
                <w:szCs w:val="21"/>
                <w:lang w:bidi="ar"/>
              </w:rPr>
              <w:t>地块五</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8.0893</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4.8274</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59.68%</w:t>
            </w:r>
          </w:p>
        </w:tc>
      </w:tr>
      <w:tr>
        <w:tblPrEx>
          <w:tblCellMar>
            <w:top w:w="0" w:type="dxa"/>
            <w:left w:w="108" w:type="dxa"/>
            <w:bottom w:w="0" w:type="dxa"/>
            <w:right w:w="108" w:type="dxa"/>
          </w:tblCellMar>
        </w:tblPrEx>
        <w:trPr>
          <w:trHeight w:val="20" w:hRule="atLeast"/>
        </w:trPr>
        <w:tc>
          <w:tcPr>
            <w:tcW w:w="6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cs="Times New Roman"/>
                <w:color w:val="000000"/>
                <w:sz w:val="21"/>
                <w:szCs w:val="21"/>
              </w:rPr>
            </w:pPr>
          </w:p>
        </w:tc>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ascii="仿宋_GB2312" w:hAnsi="宋体" w:cs="仿宋_GB2312"/>
                <w:color w:val="000000"/>
                <w:sz w:val="21"/>
                <w:szCs w:val="21"/>
              </w:rPr>
            </w:pPr>
          </w:p>
        </w:tc>
        <w:tc>
          <w:tcPr>
            <w:tcW w:w="1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_GB2312" w:hAnsi="宋体" w:cs="仿宋_GB2312"/>
                <w:color w:val="000000"/>
                <w:sz w:val="21"/>
                <w:szCs w:val="21"/>
              </w:rPr>
            </w:pPr>
            <w:r>
              <w:rPr>
                <w:rFonts w:hint="eastAsia" w:ascii="仿宋_GB2312" w:hAnsi="宋体" w:cs="仿宋_GB2312"/>
                <w:color w:val="000000"/>
                <w:kern w:val="0"/>
                <w:sz w:val="21"/>
                <w:szCs w:val="21"/>
                <w:lang w:bidi="ar"/>
              </w:rPr>
              <w:t>地块六</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63.9804</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48.7401</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76.18%</w:t>
            </w:r>
          </w:p>
        </w:tc>
      </w:tr>
      <w:tr>
        <w:tblPrEx>
          <w:tblCellMar>
            <w:top w:w="0" w:type="dxa"/>
            <w:left w:w="108" w:type="dxa"/>
            <w:bottom w:w="0" w:type="dxa"/>
            <w:right w:w="108" w:type="dxa"/>
          </w:tblCellMar>
        </w:tblPrEx>
        <w:trPr>
          <w:trHeight w:val="20" w:hRule="atLeast"/>
        </w:trPr>
        <w:tc>
          <w:tcPr>
            <w:tcW w:w="6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cs="Times New Roman"/>
                <w:color w:val="000000"/>
                <w:sz w:val="21"/>
                <w:szCs w:val="21"/>
              </w:rPr>
            </w:pPr>
          </w:p>
        </w:tc>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ascii="仿宋_GB2312" w:hAnsi="宋体" w:cs="仿宋_GB2312"/>
                <w:color w:val="000000"/>
                <w:sz w:val="21"/>
                <w:szCs w:val="21"/>
              </w:rPr>
            </w:pPr>
          </w:p>
        </w:tc>
        <w:tc>
          <w:tcPr>
            <w:tcW w:w="1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_GB2312" w:hAnsi="宋体" w:cs="仿宋_GB2312"/>
                <w:color w:val="000000"/>
                <w:sz w:val="21"/>
                <w:szCs w:val="21"/>
              </w:rPr>
            </w:pPr>
            <w:r>
              <w:rPr>
                <w:rFonts w:hint="eastAsia" w:ascii="仿宋_GB2312" w:hAnsi="宋体" w:cs="仿宋_GB2312"/>
                <w:color w:val="000000"/>
                <w:kern w:val="0"/>
                <w:sz w:val="21"/>
                <w:szCs w:val="21"/>
                <w:lang w:bidi="ar"/>
              </w:rPr>
              <w:t>地块七</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0.2634</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0.2167</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82.27%</w:t>
            </w:r>
          </w:p>
        </w:tc>
      </w:tr>
      <w:tr>
        <w:tblPrEx>
          <w:tblCellMar>
            <w:top w:w="0" w:type="dxa"/>
            <w:left w:w="108" w:type="dxa"/>
            <w:bottom w:w="0" w:type="dxa"/>
            <w:right w:w="108" w:type="dxa"/>
          </w:tblCellMar>
        </w:tblPrEx>
        <w:trPr>
          <w:trHeight w:val="20" w:hRule="atLeast"/>
        </w:trPr>
        <w:tc>
          <w:tcPr>
            <w:tcW w:w="6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cs="Times New Roman"/>
                <w:color w:val="000000"/>
                <w:sz w:val="21"/>
                <w:szCs w:val="21"/>
              </w:rPr>
            </w:pPr>
          </w:p>
        </w:tc>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ascii="仿宋_GB2312" w:hAnsi="宋体" w:cs="仿宋_GB2312"/>
                <w:color w:val="000000"/>
                <w:sz w:val="21"/>
                <w:szCs w:val="21"/>
              </w:rPr>
            </w:pPr>
          </w:p>
        </w:tc>
        <w:tc>
          <w:tcPr>
            <w:tcW w:w="1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_GB2312" w:hAnsi="宋体" w:cs="仿宋_GB2312"/>
                <w:color w:val="000000"/>
                <w:sz w:val="21"/>
                <w:szCs w:val="21"/>
              </w:rPr>
            </w:pPr>
            <w:r>
              <w:rPr>
                <w:rFonts w:hint="eastAsia" w:ascii="仿宋_GB2312" w:hAnsi="宋体" w:cs="仿宋_GB2312"/>
                <w:color w:val="000000"/>
                <w:kern w:val="0"/>
                <w:sz w:val="21"/>
                <w:szCs w:val="21"/>
                <w:lang w:bidi="ar"/>
              </w:rPr>
              <w:t>地块八</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0.0676</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0.0396</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58.58%</w:t>
            </w:r>
          </w:p>
        </w:tc>
      </w:tr>
      <w:tr>
        <w:tblPrEx>
          <w:tblCellMar>
            <w:top w:w="0" w:type="dxa"/>
            <w:left w:w="108" w:type="dxa"/>
            <w:bottom w:w="0" w:type="dxa"/>
            <w:right w:w="108" w:type="dxa"/>
          </w:tblCellMar>
        </w:tblPrEx>
        <w:trPr>
          <w:trHeight w:val="20" w:hRule="atLeast"/>
        </w:trPr>
        <w:tc>
          <w:tcPr>
            <w:tcW w:w="6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cs="Times New Roman"/>
                <w:color w:val="000000"/>
                <w:sz w:val="21"/>
                <w:szCs w:val="21"/>
              </w:rPr>
            </w:pPr>
          </w:p>
        </w:tc>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ascii="仿宋_GB2312" w:hAnsi="宋体" w:cs="仿宋_GB2312"/>
                <w:color w:val="000000"/>
                <w:sz w:val="21"/>
                <w:szCs w:val="21"/>
              </w:rPr>
            </w:pPr>
          </w:p>
        </w:tc>
        <w:tc>
          <w:tcPr>
            <w:tcW w:w="1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_GB2312" w:hAnsi="宋体" w:cs="仿宋_GB2312"/>
                <w:color w:val="000000"/>
                <w:sz w:val="21"/>
                <w:szCs w:val="21"/>
              </w:rPr>
            </w:pPr>
            <w:r>
              <w:rPr>
                <w:rFonts w:hint="eastAsia" w:ascii="仿宋_GB2312" w:hAnsi="宋体" w:cs="仿宋_GB2312"/>
                <w:color w:val="000000"/>
                <w:kern w:val="0"/>
                <w:sz w:val="21"/>
                <w:szCs w:val="21"/>
                <w:lang w:bidi="ar"/>
              </w:rPr>
              <w:t>地块九</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0.0122</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0.0071</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58.20%</w:t>
            </w:r>
          </w:p>
        </w:tc>
      </w:tr>
      <w:tr>
        <w:tblPrEx>
          <w:tblCellMar>
            <w:top w:w="0" w:type="dxa"/>
            <w:left w:w="108" w:type="dxa"/>
            <w:bottom w:w="0" w:type="dxa"/>
            <w:right w:w="108" w:type="dxa"/>
          </w:tblCellMar>
        </w:tblPrEx>
        <w:trPr>
          <w:trHeight w:val="20" w:hRule="atLeast"/>
        </w:trPr>
        <w:tc>
          <w:tcPr>
            <w:tcW w:w="6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cs="Times New Roman"/>
                <w:color w:val="000000"/>
                <w:sz w:val="21"/>
                <w:szCs w:val="21"/>
              </w:rPr>
            </w:pPr>
          </w:p>
        </w:tc>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ascii="仿宋_GB2312" w:hAnsi="宋体" w:cs="仿宋_GB2312"/>
                <w:color w:val="000000"/>
                <w:sz w:val="21"/>
                <w:szCs w:val="21"/>
              </w:rPr>
            </w:pPr>
          </w:p>
        </w:tc>
        <w:tc>
          <w:tcPr>
            <w:tcW w:w="1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_GB2312" w:hAnsi="宋体" w:cs="仿宋_GB2312"/>
                <w:color w:val="000000"/>
                <w:sz w:val="21"/>
                <w:szCs w:val="21"/>
              </w:rPr>
            </w:pPr>
            <w:r>
              <w:rPr>
                <w:rFonts w:hint="eastAsia" w:ascii="仿宋_GB2312" w:hAnsi="宋体" w:cs="仿宋_GB2312"/>
                <w:color w:val="000000"/>
                <w:kern w:val="0"/>
                <w:sz w:val="21"/>
                <w:szCs w:val="21"/>
                <w:lang w:bidi="ar"/>
              </w:rPr>
              <w:t>小计</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84.0242</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62.0078</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73.80%</w:t>
            </w:r>
          </w:p>
        </w:tc>
      </w:tr>
      <w:tr>
        <w:tblPrEx>
          <w:tblCellMar>
            <w:top w:w="0" w:type="dxa"/>
            <w:left w:w="108" w:type="dxa"/>
            <w:bottom w:w="0" w:type="dxa"/>
            <w:right w:w="108" w:type="dxa"/>
          </w:tblCellMar>
        </w:tblPrEx>
        <w:trPr>
          <w:trHeight w:val="20" w:hRule="atLeast"/>
        </w:trPr>
        <w:tc>
          <w:tcPr>
            <w:tcW w:w="65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2</w:t>
            </w:r>
          </w:p>
        </w:tc>
        <w:tc>
          <w:tcPr>
            <w:tcW w:w="174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_GB2312" w:hAnsi="宋体" w:cs="仿宋_GB2312"/>
                <w:color w:val="000000"/>
                <w:sz w:val="21"/>
                <w:szCs w:val="21"/>
              </w:rPr>
            </w:pPr>
            <w:r>
              <w:rPr>
                <w:rFonts w:hint="eastAsia" w:ascii="仿宋_GB2312" w:hAnsi="宋体" w:cs="仿宋_GB2312"/>
                <w:color w:val="000000"/>
                <w:kern w:val="0"/>
                <w:sz w:val="21"/>
                <w:szCs w:val="21"/>
                <w:lang w:bidi="ar"/>
              </w:rPr>
              <w:t>灯塔片区</w:t>
            </w:r>
          </w:p>
        </w:tc>
        <w:tc>
          <w:tcPr>
            <w:tcW w:w="1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_GB2312" w:hAnsi="宋体" w:cs="仿宋_GB2312"/>
                <w:color w:val="000000"/>
                <w:sz w:val="21"/>
                <w:szCs w:val="21"/>
              </w:rPr>
            </w:pPr>
            <w:r>
              <w:rPr>
                <w:rFonts w:hint="eastAsia" w:ascii="仿宋_GB2312" w:hAnsi="宋体" w:cs="仿宋_GB2312"/>
                <w:color w:val="000000"/>
                <w:kern w:val="0"/>
                <w:sz w:val="21"/>
                <w:szCs w:val="21"/>
                <w:lang w:bidi="ar"/>
              </w:rPr>
              <w:t>地块十</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8.6036</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1.7882</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20.78%</w:t>
            </w:r>
          </w:p>
        </w:tc>
      </w:tr>
      <w:tr>
        <w:tblPrEx>
          <w:tblCellMar>
            <w:top w:w="0" w:type="dxa"/>
            <w:left w:w="108" w:type="dxa"/>
            <w:bottom w:w="0" w:type="dxa"/>
            <w:right w:w="108" w:type="dxa"/>
          </w:tblCellMar>
        </w:tblPrEx>
        <w:trPr>
          <w:trHeight w:val="20" w:hRule="atLeast"/>
        </w:trPr>
        <w:tc>
          <w:tcPr>
            <w:tcW w:w="6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cs="Times New Roman"/>
                <w:color w:val="000000"/>
                <w:sz w:val="21"/>
                <w:szCs w:val="21"/>
              </w:rPr>
            </w:pPr>
          </w:p>
        </w:tc>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ascii="仿宋_GB2312" w:hAnsi="宋体" w:cs="仿宋_GB2312"/>
                <w:color w:val="000000"/>
                <w:sz w:val="21"/>
                <w:szCs w:val="21"/>
              </w:rPr>
            </w:pPr>
          </w:p>
        </w:tc>
        <w:tc>
          <w:tcPr>
            <w:tcW w:w="1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_GB2312" w:hAnsi="宋体" w:cs="仿宋_GB2312"/>
                <w:color w:val="000000"/>
                <w:sz w:val="21"/>
                <w:szCs w:val="21"/>
              </w:rPr>
            </w:pPr>
            <w:r>
              <w:rPr>
                <w:rFonts w:hint="eastAsia" w:ascii="仿宋_GB2312" w:hAnsi="宋体" w:cs="仿宋_GB2312"/>
                <w:color w:val="000000"/>
                <w:kern w:val="0"/>
                <w:sz w:val="21"/>
                <w:szCs w:val="21"/>
                <w:lang w:bidi="ar"/>
              </w:rPr>
              <w:t>地块十一</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2.9632</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1.7882</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60.35%</w:t>
            </w:r>
          </w:p>
        </w:tc>
      </w:tr>
      <w:tr>
        <w:tblPrEx>
          <w:tblCellMar>
            <w:top w:w="0" w:type="dxa"/>
            <w:left w:w="108" w:type="dxa"/>
            <w:bottom w:w="0" w:type="dxa"/>
            <w:right w:w="108" w:type="dxa"/>
          </w:tblCellMar>
        </w:tblPrEx>
        <w:trPr>
          <w:trHeight w:val="20" w:hRule="atLeast"/>
        </w:trPr>
        <w:tc>
          <w:tcPr>
            <w:tcW w:w="6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cs="Times New Roman"/>
                <w:color w:val="000000"/>
                <w:sz w:val="21"/>
                <w:szCs w:val="21"/>
              </w:rPr>
            </w:pPr>
          </w:p>
        </w:tc>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ascii="仿宋_GB2312" w:hAnsi="宋体" w:cs="仿宋_GB2312"/>
                <w:color w:val="000000"/>
                <w:sz w:val="21"/>
                <w:szCs w:val="21"/>
              </w:rPr>
            </w:pPr>
          </w:p>
        </w:tc>
        <w:tc>
          <w:tcPr>
            <w:tcW w:w="1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_GB2312" w:hAnsi="宋体" w:cs="仿宋_GB2312"/>
                <w:color w:val="000000"/>
                <w:sz w:val="21"/>
                <w:szCs w:val="21"/>
              </w:rPr>
            </w:pPr>
            <w:r>
              <w:rPr>
                <w:rFonts w:hint="eastAsia" w:ascii="仿宋_GB2312" w:hAnsi="宋体" w:cs="仿宋_GB2312"/>
                <w:color w:val="000000"/>
                <w:kern w:val="0"/>
                <w:sz w:val="21"/>
                <w:szCs w:val="21"/>
                <w:lang w:bidi="ar"/>
              </w:rPr>
              <w:t>地块十二</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2.3268</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1.3741</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59.06%</w:t>
            </w:r>
          </w:p>
        </w:tc>
      </w:tr>
      <w:tr>
        <w:tblPrEx>
          <w:tblCellMar>
            <w:top w:w="0" w:type="dxa"/>
            <w:left w:w="108" w:type="dxa"/>
            <w:bottom w:w="0" w:type="dxa"/>
            <w:right w:w="108" w:type="dxa"/>
          </w:tblCellMar>
        </w:tblPrEx>
        <w:trPr>
          <w:trHeight w:val="20" w:hRule="atLeast"/>
        </w:trPr>
        <w:tc>
          <w:tcPr>
            <w:tcW w:w="6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cs="Times New Roman"/>
                <w:color w:val="000000"/>
                <w:sz w:val="21"/>
                <w:szCs w:val="21"/>
              </w:rPr>
            </w:pPr>
          </w:p>
        </w:tc>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ascii="仿宋_GB2312" w:hAnsi="宋体" w:cs="仿宋_GB2312"/>
                <w:color w:val="000000"/>
                <w:sz w:val="21"/>
                <w:szCs w:val="21"/>
              </w:rPr>
            </w:pPr>
          </w:p>
        </w:tc>
        <w:tc>
          <w:tcPr>
            <w:tcW w:w="1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_GB2312" w:hAnsi="宋体" w:cs="仿宋_GB2312"/>
                <w:color w:val="000000"/>
                <w:sz w:val="21"/>
                <w:szCs w:val="21"/>
              </w:rPr>
            </w:pPr>
            <w:r>
              <w:rPr>
                <w:rFonts w:hint="eastAsia" w:ascii="仿宋_GB2312" w:hAnsi="宋体" w:cs="仿宋_GB2312"/>
                <w:color w:val="000000"/>
                <w:kern w:val="0"/>
                <w:sz w:val="21"/>
                <w:szCs w:val="21"/>
                <w:lang w:bidi="ar"/>
              </w:rPr>
              <w:t>小计</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13.8936</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4.9505</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35.63%</w:t>
            </w:r>
          </w:p>
        </w:tc>
      </w:tr>
      <w:tr>
        <w:tblPrEx>
          <w:tblCellMar>
            <w:top w:w="0" w:type="dxa"/>
            <w:left w:w="108" w:type="dxa"/>
            <w:bottom w:w="0" w:type="dxa"/>
            <w:right w:w="108" w:type="dxa"/>
          </w:tblCellMar>
        </w:tblPrEx>
        <w:trPr>
          <w:trHeight w:val="20" w:hRule="atLeast"/>
        </w:trPr>
        <w:tc>
          <w:tcPr>
            <w:tcW w:w="65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3</w:t>
            </w:r>
          </w:p>
        </w:tc>
        <w:tc>
          <w:tcPr>
            <w:tcW w:w="174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_GB2312" w:hAnsi="宋体" w:cs="仿宋_GB2312"/>
                <w:color w:val="000000"/>
                <w:sz w:val="21"/>
                <w:szCs w:val="21"/>
              </w:rPr>
            </w:pPr>
            <w:r>
              <w:rPr>
                <w:rFonts w:hint="eastAsia" w:ascii="仿宋_GB2312" w:hAnsi="宋体" w:cs="仿宋_GB2312"/>
                <w:color w:val="000000"/>
                <w:kern w:val="0"/>
                <w:sz w:val="21"/>
                <w:szCs w:val="21"/>
                <w:lang w:bidi="ar"/>
              </w:rPr>
              <w:t>骆湖片区</w:t>
            </w:r>
          </w:p>
        </w:tc>
        <w:tc>
          <w:tcPr>
            <w:tcW w:w="1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_GB2312" w:hAnsi="宋体" w:cs="仿宋_GB2312"/>
                <w:color w:val="000000"/>
                <w:sz w:val="21"/>
                <w:szCs w:val="21"/>
              </w:rPr>
            </w:pPr>
            <w:r>
              <w:rPr>
                <w:rFonts w:hint="eastAsia" w:ascii="仿宋_GB2312" w:hAnsi="宋体" w:cs="仿宋_GB2312"/>
                <w:color w:val="000000"/>
                <w:kern w:val="0"/>
                <w:sz w:val="21"/>
                <w:szCs w:val="21"/>
                <w:lang w:bidi="ar"/>
              </w:rPr>
              <w:t>地块十三</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11.1665</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7.9261</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70.98%</w:t>
            </w:r>
          </w:p>
        </w:tc>
      </w:tr>
      <w:tr>
        <w:tblPrEx>
          <w:tblCellMar>
            <w:top w:w="0" w:type="dxa"/>
            <w:left w:w="108" w:type="dxa"/>
            <w:bottom w:w="0" w:type="dxa"/>
            <w:right w:w="108" w:type="dxa"/>
          </w:tblCellMar>
        </w:tblPrEx>
        <w:trPr>
          <w:trHeight w:val="20" w:hRule="atLeast"/>
        </w:trPr>
        <w:tc>
          <w:tcPr>
            <w:tcW w:w="6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cs="Times New Roman"/>
                <w:color w:val="000000"/>
                <w:sz w:val="21"/>
                <w:szCs w:val="21"/>
              </w:rPr>
            </w:pPr>
          </w:p>
        </w:tc>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ascii="仿宋_GB2312" w:hAnsi="宋体" w:cs="仿宋_GB2312"/>
                <w:color w:val="000000"/>
                <w:sz w:val="21"/>
                <w:szCs w:val="21"/>
              </w:rPr>
            </w:pPr>
          </w:p>
        </w:tc>
        <w:tc>
          <w:tcPr>
            <w:tcW w:w="1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_GB2312" w:hAnsi="宋体" w:cs="仿宋_GB2312"/>
                <w:color w:val="000000"/>
                <w:sz w:val="21"/>
                <w:szCs w:val="21"/>
              </w:rPr>
            </w:pPr>
            <w:r>
              <w:rPr>
                <w:rFonts w:hint="eastAsia" w:ascii="仿宋_GB2312" w:hAnsi="宋体" w:cs="仿宋_GB2312"/>
                <w:color w:val="000000"/>
                <w:kern w:val="0"/>
                <w:sz w:val="21"/>
                <w:szCs w:val="21"/>
                <w:lang w:bidi="ar"/>
              </w:rPr>
              <w:t>地块十四</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2.2264</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1.3326</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59.85%</w:t>
            </w:r>
          </w:p>
        </w:tc>
      </w:tr>
      <w:tr>
        <w:tblPrEx>
          <w:tblCellMar>
            <w:top w:w="0" w:type="dxa"/>
            <w:left w:w="108" w:type="dxa"/>
            <w:bottom w:w="0" w:type="dxa"/>
            <w:right w:w="108" w:type="dxa"/>
          </w:tblCellMar>
        </w:tblPrEx>
        <w:trPr>
          <w:trHeight w:val="20" w:hRule="atLeast"/>
        </w:trPr>
        <w:tc>
          <w:tcPr>
            <w:tcW w:w="6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cs="Times New Roman"/>
                <w:color w:val="000000"/>
                <w:sz w:val="21"/>
                <w:szCs w:val="21"/>
              </w:rPr>
            </w:pPr>
          </w:p>
        </w:tc>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ascii="仿宋_GB2312" w:hAnsi="宋体" w:cs="仿宋_GB2312"/>
                <w:color w:val="000000"/>
                <w:sz w:val="21"/>
                <w:szCs w:val="21"/>
              </w:rPr>
            </w:pPr>
          </w:p>
        </w:tc>
        <w:tc>
          <w:tcPr>
            <w:tcW w:w="1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_GB2312" w:hAnsi="宋体" w:cs="仿宋_GB2312"/>
                <w:color w:val="000000"/>
                <w:sz w:val="21"/>
                <w:szCs w:val="21"/>
              </w:rPr>
            </w:pPr>
            <w:r>
              <w:rPr>
                <w:rFonts w:hint="eastAsia" w:ascii="仿宋_GB2312" w:hAnsi="宋体" w:cs="仿宋_GB2312"/>
                <w:color w:val="000000"/>
                <w:kern w:val="0"/>
                <w:sz w:val="21"/>
                <w:szCs w:val="21"/>
                <w:lang w:bidi="ar"/>
              </w:rPr>
              <w:t>小计</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13.3929</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9.2587</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69.13%</w:t>
            </w:r>
          </w:p>
        </w:tc>
      </w:tr>
      <w:tr>
        <w:tblPrEx>
          <w:tblCellMar>
            <w:top w:w="0" w:type="dxa"/>
            <w:left w:w="108" w:type="dxa"/>
            <w:bottom w:w="0" w:type="dxa"/>
            <w:right w:w="108" w:type="dxa"/>
          </w:tblCellMar>
        </w:tblPrEx>
        <w:trPr>
          <w:trHeight w:val="20" w:hRule="atLeast"/>
        </w:trPr>
        <w:tc>
          <w:tcPr>
            <w:tcW w:w="65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4</w:t>
            </w:r>
          </w:p>
        </w:tc>
        <w:tc>
          <w:tcPr>
            <w:tcW w:w="174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_GB2312" w:hAnsi="宋体" w:cs="仿宋_GB2312"/>
                <w:color w:val="000000"/>
                <w:sz w:val="21"/>
                <w:szCs w:val="21"/>
              </w:rPr>
            </w:pPr>
            <w:r>
              <w:rPr>
                <w:rFonts w:hint="eastAsia" w:ascii="仿宋_GB2312" w:hAnsi="宋体" w:cs="仿宋_GB2312"/>
                <w:color w:val="000000"/>
                <w:kern w:val="0"/>
                <w:sz w:val="21"/>
                <w:szCs w:val="21"/>
                <w:lang w:bidi="ar"/>
              </w:rPr>
              <w:t>农高核心区片区</w:t>
            </w:r>
          </w:p>
        </w:tc>
        <w:tc>
          <w:tcPr>
            <w:tcW w:w="1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_GB2312" w:hAnsi="宋体" w:cs="仿宋_GB2312"/>
                <w:color w:val="000000"/>
                <w:sz w:val="21"/>
                <w:szCs w:val="21"/>
              </w:rPr>
            </w:pPr>
            <w:r>
              <w:rPr>
                <w:rFonts w:hint="eastAsia" w:ascii="仿宋_GB2312" w:hAnsi="宋体" w:cs="仿宋_GB2312"/>
                <w:color w:val="000000"/>
                <w:kern w:val="0"/>
                <w:sz w:val="21"/>
                <w:szCs w:val="21"/>
                <w:lang w:bidi="ar"/>
              </w:rPr>
              <w:t>地块十五</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1.4299</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1.3366</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93.48%</w:t>
            </w:r>
          </w:p>
        </w:tc>
      </w:tr>
      <w:tr>
        <w:tblPrEx>
          <w:tblCellMar>
            <w:top w:w="0" w:type="dxa"/>
            <w:left w:w="108" w:type="dxa"/>
            <w:bottom w:w="0" w:type="dxa"/>
            <w:right w:w="108" w:type="dxa"/>
          </w:tblCellMar>
        </w:tblPrEx>
        <w:trPr>
          <w:trHeight w:val="20" w:hRule="atLeast"/>
        </w:trPr>
        <w:tc>
          <w:tcPr>
            <w:tcW w:w="6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cs="Times New Roman"/>
                <w:color w:val="000000"/>
                <w:sz w:val="21"/>
                <w:szCs w:val="21"/>
              </w:rPr>
            </w:pPr>
          </w:p>
        </w:tc>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ascii="仿宋_GB2312" w:hAnsi="宋体" w:cs="仿宋_GB2312"/>
                <w:color w:val="000000"/>
                <w:sz w:val="21"/>
                <w:szCs w:val="21"/>
              </w:rPr>
            </w:pPr>
          </w:p>
        </w:tc>
        <w:tc>
          <w:tcPr>
            <w:tcW w:w="1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_GB2312" w:hAnsi="宋体" w:cs="仿宋_GB2312"/>
                <w:color w:val="000000"/>
                <w:sz w:val="21"/>
                <w:szCs w:val="21"/>
              </w:rPr>
            </w:pPr>
            <w:r>
              <w:rPr>
                <w:rFonts w:hint="eastAsia" w:ascii="仿宋_GB2312" w:hAnsi="宋体" w:cs="仿宋_GB2312"/>
                <w:color w:val="000000"/>
                <w:kern w:val="0"/>
                <w:sz w:val="21"/>
                <w:szCs w:val="21"/>
                <w:lang w:bidi="ar"/>
              </w:rPr>
              <w:t>地块十六</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65.6515</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30.0354</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45.75%</w:t>
            </w:r>
          </w:p>
        </w:tc>
      </w:tr>
      <w:tr>
        <w:tblPrEx>
          <w:tblCellMar>
            <w:top w:w="0" w:type="dxa"/>
            <w:left w:w="108" w:type="dxa"/>
            <w:bottom w:w="0" w:type="dxa"/>
            <w:right w:w="108" w:type="dxa"/>
          </w:tblCellMar>
        </w:tblPrEx>
        <w:trPr>
          <w:trHeight w:val="20" w:hRule="atLeast"/>
        </w:trPr>
        <w:tc>
          <w:tcPr>
            <w:tcW w:w="6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cs="Times New Roman"/>
                <w:color w:val="000000"/>
                <w:sz w:val="21"/>
                <w:szCs w:val="21"/>
              </w:rPr>
            </w:pPr>
          </w:p>
        </w:tc>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ascii="仿宋_GB2312" w:hAnsi="宋体" w:cs="仿宋_GB2312"/>
                <w:color w:val="000000"/>
                <w:sz w:val="21"/>
                <w:szCs w:val="21"/>
              </w:rPr>
            </w:pPr>
          </w:p>
        </w:tc>
        <w:tc>
          <w:tcPr>
            <w:tcW w:w="1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_GB2312" w:hAnsi="宋体" w:cs="仿宋_GB2312"/>
                <w:color w:val="000000"/>
                <w:sz w:val="21"/>
                <w:szCs w:val="21"/>
              </w:rPr>
            </w:pPr>
            <w:r>
              <w:rPr>
                <w:rFonts w:hint="eastAsia" w:ascii="仿宋_GB2312" w:hAnsi="宋体" w:cs="仿宋_GB2312"/>
                <w:color w:val="000000"/>
                <w:kern w:val="0"/>
                <w:sz w:val="21"/>
                <w:szCs w:val="21"/>
                <w:lang w:bidi="ar"/>
              </w:rPr>
              <w:t>地块十七</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5.582</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3.3456</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59.94%</w:t>
            </w:r>
          </w:p>
        </w:tc>
      </w:tr>
      <w:tr>
        <w:tblPrEx>
          <w:tblCellMar>
            <w:top w:w="0" w:type="dxa"/>
            <w:left w:w="108" w:type="dxa"/>
            <w:bottom w:w="0" w:type="dxa"/>
            <w:right w:w="108" w:type="dxa"/>
          </w:tblCellMar>
        </w:tblPrEx>
        <w:trPr>
          <w:trHeight w:val="20" w:hRule="atLeast"/>
        </w:trPr>
        <w:tc>
          <w:tcPr>
            <w:tcW w:w="6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eastAsia="宋体" w:cs="Times New Roman"/>
                <w:color w:val="000000"/>
                <w:sz w:val="21"/>
                <w:szCs w:val="21"/>
              </w:rPr>
            </w:pPr>
          </w:p>
        </w:tc>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rPr>
                <w:rFonts w:ascii="仿宋_GB2312" w:hAnsi="宋体" w:cs="仿宋_GB2312"/>
                <w:color w:val="000000"/>
                <w:sz w:val="21"/>
                <w:szCs w:val="21"/>
              </w:rPr>
            </w:pPr>
          </w:p>
        </w:tc>
        <w:tc>
          <w:tcPr>
            <w:tcW w:w="1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_GB2312" w:hAnsi="宋体" w:cs="仿宋_GB2312"/>
                <w:color w:val="000000"/>
                <w:sz w:val="21"/>
                <w:szCs w:val="21"/>
              </w:rPr>
            </w:pPr>
            <w:r>
              <w:rPr>
                <w:rFonts w:hint="eastAsia" w:ascii="仿宋_GB2312" w:hAnsi="宋体" w:cs="仿宋_GB2312"/>
                <w:color w:val="000000"/>
                <w:kern w:val="0"/>
                <w:sz w:val="21"/>
                <w:szCs w:val="21"/>
                <w:lang w:bidi="ar"/>
              </w:rPr>
              <w:t>小计</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72.6634</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34.7176</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47.78%</w:t>
            </w:r>
          </w:p>
        </w:tc>
      </w:tr>
      <w:tr>
        <w:tblPrEx>
          <w:tblCellMar>
            <w:top w:w="0" w:type="dxa"/>
            <w:left w:w="108" w:type="dxa"/>
            <w:bottom w:w="0" w:type="dxa"/>
            <w:right w:w="108" w:type="dxa"/>
          </w:tblCellMar>
        </w:tblPrEx>
        <w:trPr>
          <w:trHeight w:val="20" w:hRule="atLeast"/>
        </w:trPr>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5</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_GB2312" w:hAnsi="宋体" w:cs="仿宋_GB2312"/>
                <w:color w:val="000000"/>
                <w:sz w:val="21"/>
                <w:szCs w:val="21"/>
              </w:rPr>
            </w:pPr>
            <w:r>
              <w:rPr>
                <w:rFonts w:hint="eastAsia" w:ascii="仿宋_GB2312" w:hAnsi="宋体" w:cs="仿宋_GB2312"/>
                <w:color w:val="000000"/>
                <w:kern w:val="0"/>
                <w:sz w:val="21"/>
                <w:szCs w:val="21"/>
                <w:lang w:bidi="ar"/>
              </w:rPr>
              <w:t>船塘片区</w:t>
            </w:r>
          </w:p>
        </w:tc>
        <w:tc>
          <w:tcPr>
            <w:tcW w:w="1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_GB2312" w:hAnsi="宋体" w:cs="仿宋_GB2312"/>
                <w:color w:val="000000"/>
                <w:sz w:val="21"/>
                <w:szCs w:val="21"/>
              </w:rPr>
            </w:pPr>
            <w:r>
              <w:rPr>
                <w:rFonts w:hint="eastAsia" w:ascii="仿宋_GB2312" w:hAnsi="宋体" w:cs="仿宋_GB2312"/>
                <w:color w:val="000000"/>
                <w:kern w:val="0"/>
                <w:sz w:val="21"/>
                <w:szCs w:val="21"/>
                <w:lang w:bidi="ar"/>
              </w:rPr>
              <w:t>地块十八</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0.5746</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0.3916</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68.15%</w:t>
            </w:r>
          </w:p>
        </w:tc>
      </w:tr>
      <w:tr>
        <w:tblPrEx>
          <w:tblCellMar>
            <w:top w:w="0" w:type="dxa"/>
            <w:left w:w="108" w:type="dxa"/>
            <w:bottom w:w="0" w:type="dxa"/>
            <w:right w:w="108" w:type="dxa"/>
          </w:tblCellMar>
        </w:tblPrEx>
        <w:trPr>
          <w:trHeight w:val="20" w:hRule="atLeast"/>
        </w:trPr>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6</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_GB2312" w:hAnsi="宋体" w:cs="仿宋_GB2312"/>
                <w:color w:val="000000"/>
                <w:sz w:val="21"/>
                <w:szCs w:val="21"/>
              </w:rPr>
            </w:pPr>
            <w:r>
              <w:rPr>
                <w:rFonts w:hint="eastAsia" w:ascii="仿宋_GB2312" w:hAnsi="宋体" w:cs="仿宋_GB2312"/>
                <w:color w:val="000000"/>
                <w:kern w:val="0"/>
                <w:sz w:val="21"/>
                <w:szCs w:val="21"/>
                <w:lang w:bidi="ar"/>
              </w:rPr>
              <w:t>锡场片区</w:t>
            </w:r>
          </w:p>
        </w:tc>
        <w:tc>
          <w:tcPr>
            <w:tcW w:w="1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_GB2312" w:hAnsi="宋体" w:cs="仿宋_GB2312"/>
                <w:color w:val="000000"/>
                <w:sz w:val="21"/>
                <w:szCs w:val="21"/>
              </w:rPr>
            </w:pPr>
            <w:r>
              <w:rPr>
                <w:rFonts w:hint="eastAsia" w:ascii="仿宋_GB2312" w:hAnsi="宋体" w:cs="仿宋_GB2312"/>
                <w:color w:val="000000"/>
                <w:kern w:val="0"/>
                <w:sz w:val="21"/>
                <w:szCs w:val="21"/>
                <w:lang w:bidi="ar"/>
              </w:rPr>
              <w:t>地块十九</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0.1688</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0.0644</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38.15%</w:t>
            </w:r>
          </w:p>
        </w:tc>
      </w:tr>
      <w:tr>
        <w:tblPrEx>
          <w:tblCellMar>
            <w:top w:w="0" w:type="dxa"/>
            <w:left w:w="108" w:type="dxa"/>
            <w:bottom w:w="0" w:type="dxa"/>
            <w:right w:w="108" w:type="dxa"/>
          </w:tblCellMar>
        </w:tblPrEx>
        <w:trPr>
          <w:trHeight w:val="20" w:hRule="atLeast"/>
        </w:trPr>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2"/>
                <w:szCs w:val="22"/>
              </w:rPr>
            </w:pPr>
            <w:r>
              <w:rPr>
                <w:rFonts w:eastAsia="宋体" w:cs="Times New Roman"/>
                <w:color w:val="000000"/>
                <w:kern w:val="0"/>
                <w:sz w:val="22"/>
                <w:szCs w:val="22"/>
                <w:lang w:bidi="ar"/>
              </w:rPr>
              <w:t>7</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_GB2312" w:hAnsi="宋体" w:cs="仿宋_GB2312"/>
                <w:color w:val="000000"/>
                <w:sz w:val="21"/>
                <w:szCs w:val="21"/>
              </w:rPr>
            </w:pPr>
            <w:r>
              <w:rPr>
                <w:rFonts w:hint="eastAsia" w:ascii="仿宋_GB2312" w:hAnsi="宋体" w:cs="仿宋_GB2312"/>
                <w:color w:val="000000"/>
                <w:kern w:val="0"/>
                <w:sz w:val="21"/>
                <w:szCs w:val="21"/>
                <w:lang w:bidi="ar"/>
              </w:rPr>
              <w:t>黄村片区</w:t>
            </w:r>
          </w:p>
        </w:tc>
        <w:tc>
          <w:tcPr>
            <w:tcW w:w="1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_GB2312" w:hAnsi="宋体" w:cs="仿宋_GB2312"/>
                <w:color w:val="000000"/>
                <w:sz w:val="21"/>
                <w:szCs w:val="21"/>
              </w:rPr>
            </w:pPr>
            <w:r>
              <w:rPr>
                <w:rFonts w:hint="eastAsia" w:ascii="仿宋_GB2312" w:hAnsi="宋体" w:cs="仿宋_GB2312"/>
                <w:color w:val="000000"/>
                <w:kern w:val="0"/>
                <w:sz w:val="21"/>
                <w:szCs w:val="21"/>
                <w:lang w:bidi="ar"/>
              </w:rPr>
              <w:t>地块二十</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0.3333</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0.3333</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100.00%</w:t>
            </w:r>
          </w:p>
        </w:tc>
      </w:tr>
      <w:tr>
        <w:tblPrEx>
          <w:tblCellMar>
            <w:top w:w="0" w:type="dxa"/>
            <w:left w:w="108" w:type="dxa"/>
            <w:bottom w:w="0" w:type="dxa"/>
            <w:right w:w="108" w:type="dxa"/>
          </w:tblCellMar>
        </w:tblPrEx>
        <w:trPr>
          <w:trHeight w:val="20" w:hRule="atLeast"/>
        </w:trPr>
        <w:tc>
          <w:tcPr>
            <w:tcW w:w="43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_GB2312" w:hAnsi="宋体" w:cs="仿宋_GB2312"/>
                <w:color w:val="000000"/>
                <w:sz w:val="22"/>
                <w:szCs w:val="22"/>
              </w:rPr>
            </w:pPr>
            <w:r>
              <w:rPr>
                <w:rFonts w:hint="eastAsia" w:ascii="仿宋_GB2312" w:hAnsi="宋体" w:cs="仿宋_GB2312"/>
                <w:color w:val="000000"/>
                <w:kern w:val="0"/>
                <w:sz w:val="21"/>
                <w:szCs w:val="21"/>
                <w:lang w:bidi="ar"/>
              </w:rPr>
              <w:t>总计</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185.0508</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111.7239</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60.37%</w:t>
            </w:r>
          </w:p>
        </w:tc>
      </w:tr>
    </w:tbl>
    <w:p>
      <w:pPr>
        <w:pStyle w:val="12"/>
        <w:keepNext w:val="0"/>
        <w:keepLines w:val="0"/>
        <w:pageBreakBefore w:val="0"/>
        <w:widowControl w:val="0"/>
        <w:kinsoku/>
        <w:wordWrap/>
        <w:overflowPunct/>
        <w:topLinePunct w:val="0"/>
        <w:autoSpaceDE/>
        <w:autoSpaceDN/>
        <w:bidi w:val="0"/>
        <w:adjustRightInd/>
        <w:snapToGrid w:val="0"/>
        <w:spacing w:before="120" w:beforeLines="50"/>
        <w:textAlignment w:val="auto"/>
      </w:pPr>
      <w:r>
        <w:t>注：地块总面积与拟征收面积均为广东省自然资源图形辅助分析工具平差后的面积，项目实际征收面积以批复文件为准。</w:t>
      </w:r>
    </w:p>
    <w:p>
      <w:pPr>
        <w:ind w:firstLine="0" w:firstLineChars="0"/>
        <w:jc w:val="center"/>
        <w:rPr>
          <w:rFonts w:cs="仿宋"/>
          <w:kern w:val="0"/>
          <w:szCs w:val="28"/>
        </w:rPr>
      </w:pPr>
      <w:r>
        <w:rPr>
          <w:rFonts w:hint="eastAsia"/>
        </w:rPr>
        <w:t xml:space="preserve"> </w:t>
      </w:r>
    </w:p>
    <w:p>
      <w:pPr>
        <w:snapToGrid w:val="0"/>
        <w:spacing w:line="240" w:lineRule="auto"/>
        <w:ind w:firstLine="0" w:firstLineChars="0"/>
        <w:jc w:val="center"/>
      </w:pPr>
      <w:r>
        <w:rPr>
          <w:rFonts w:hint="eastAsia"/>
        </w:rPr>
        <w:drawing>
          <wp:inline distT="0" distB="0" distL="114300" distR="114300">
            <wp:extent cx="5471795" cy="3871595"/>
            <wp:effectExtent l="0" t="0" r="14605" b="14605"/>
            <wp:docPr id="4" name="图片 4" descr="调整前成片开发范围布局图 盐东产业转移园片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调整前成片开发范围布局图 盐东产业转移园片区"/>
                    <pic:cNvPicPr>
                      <a:picLocks noChangeAspect="1"/>
                    </pic:cNvPicPr>
                  </pic:nvPicPr>
                  <pic:blipFill>
                    <a:blip r:embed="rId15"/>
                    <a:stretch>
                      <a:fillRect/>
                    </a:stretch>
                  </pic:blipFill>
                  <pic:spPr>
                    <a:xfrm>
                      <a:off x="0" y="0"/>
                      <a:ext cx="5471795" cy="3871595"/>
                    </a:xfrm>
                    <a:prstGeom prst="rect">
                      <a:avLst/>
                    </a:prstGeom>
                  </pic:spPr>
                </pic:pic>
              </a:graphicData>
            </a:graphic>
          </wp:inline>
        </w:drawing>
      </w:r>
    </w:p>
    <w:p>
      <w:pPr>
        <w:pStyle w:val="11"/>
        <w:snapToGrid w:val="0"/>
        <w:rPr>
          <w:rFonts w:cstheme="minorBidi"/>
          <w:szCs w:val="22"/>
        </w:rPr>
      </w:pPr>
      <w:r>
        <w:t>图2-1</w:t>
      </w:r>
      <w:r>
        <w:rPr>
          <w:rFonts w:hint="eastAsia" w:cstheme="minorBidi"/>
          <w:szCs w:val="22"/>
        </w:rPr>
        <w:t>调整前盐东产业转移园片区成片开发范围布局图</w:t>
      </w:r>
    </w:p>
    <w:p>
      <w:pPr>
        <w:spacing w:line="240" w:lineRule="auto"/>
        <w:ind w:firstLine="0" w:firstLineChars="0"/>
      </w:pPr>
      <w:r>
        <w:rPr>
          <w:rFonts w:hint="eastAsia"/>
        </w:rPr>
        <w:drawing>
          <wp:inline distT="0" distB="0" distL="114300" distR="114300">
            <wp:extent cx="5471795" cy="3871595"/>
            <wp:effectExtent l="0" t="0" r="14605" b="14605"/>
            <wp:docPr id="7" name="图片 7" descr="调整前成片开发范围布局图 灯塔片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调整前成片开发范围布局图 灯塔片区"/>
                    <pic:cNvPicPr>
                      <a:picLocks noChangeAspect="1"/>
                    </pic:cNvPicPr>
                  </pic:nvPicPr>
                  <pic:blipFill>
                    <a:blip r:embed="rId16"/>
                    <a:stretch>
                      <a:fillRect/>
                    </a:stretch>
                  </pic:blipFill>
                  <pic:spPr>
                    <a:xfrm>
                      <a:off x="0" y="0"/>
                      <a:ext cx="5471795" cy="3871595"/>
                    </a:xfrm>
                    <a:prstGeom prst="rect">
                      <a:avLst/>
                    </a:prstGeom>
                  </pic:spPr>
                </pic:pic>
              </a:graphicData>
            </a:graphic>
          </wp:inline>
        </w:drawing>
      </w:r>
    </w:p>
    <w:p>
      <w:pPr>
        <w:pStyle w:val="11"/>
        <w:snapToGrid w:val="0"/>
        <w:rPr>
          <w:rFonts w:cstheme="minorBidi"/>
          <w:szCs w:val="22"/>
        </w:rPr>
      </w:pPr>
      <w:r>
        <w:rPr>
          <w:rFonts w:hint="eastAsia" w:cstheme="minorBidi"/>
          <w:szCs w:val="22"/>
        </w:rPr>
        <w:t>图2-</w:t>
      </w:r>
      <w:r>
        <w:rPr>
          <w:rFonts w:cstheme="minorBidi"/>
          <w:szCs w:val="22"/>
        </w:rPr>
        <w:t>2</w:t>
      </w:r>
      <w:r>
        <w:rPr>
          <w:rFonts w:hint="eastAsia" w:cstheme="minorBidi"/>
          <w:szCs w:val="22"/>
        </w:rPr>
        <w:t>调整前灯塔片区成片开发范围布局图</w:t>
      </w:r>
    </w:p>
    <w:p>
      <w:pPr>
        <w:pStyle w:val="2"/>
        <w:snapToGrid w:val="0"/>
        <w:jc w:val="both"/>
      </w:pPr>
      <w:r>
        <w:rPr>
          <w:rFonts w:hint="eastAsia"/>
        </w:rPr>
        <w:drawing>
          <wp:inline distT="0" distB="0" distL="114300" distR="114300">
            <wp:extent cx="5471795" cy="3871595"/>
            <wp:effectExtent l="0" t="0" r="14605" b="14605"/>
            <wp:docPr id="8" name="图片 8" descr="调整前成片开发范围布局图 骆湖片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调整前成片开发范围布局图 骆湖片区"/>
                    <pic:cNvPicPr>
                      <a:picLocks noChangeAspect="1"/>
                    </pic:cNvPicPr>
                  </pic:nvPicPr>
                  <pic:blipFill>
                    <a:blip r:embed="rId17"/>
                    <a:stretch>
                      <a:fillRect/>
                    </a:stretch>
                  </pic:blipFill>
                  <pic:spPr>
                    <a:xfrm>
                      <a:off x="0" y="0"/>
                      <a:ext cx="5471795" cy="3871595"/>
                    </a:xfrm>
                    <a:prstGeom prst="rect">
                      <a:avLst/>
                    </a:prstGeom>
                  </pic:spPr>
                </pic:pic>
              </a:graphicData>
            </a:graphic>
          </wp:inline>
        </w:drawing>
      </w:r>
    </w:p>
    <w:p>
      <w:pPr>
        <w:pStyle w:val="11"/>
        <w:snapToGrid w:val="0"/>
        <w:rPr>
          <w:rFonts w:cstheme="minorBidi"/>
          <w:szCs w:val="22"/>
        </w:rPr>
      </w:pPr>
      <w:r>
        <w:rPr>
          <w:rFonts w:hint="eastAsia" w:cstheme="minorBidi"/>
          <w:szCs w:val="22"/>
        </w:rPr>
        <w:t>图2-</w:t>
      </w:r>
      <w:r>
        <w:rPr>
          <w:rFonts w:cstheme="minorBidi"/>
          <w:szCs w:val="22"/>
        </w:rPr>
        <w:t>3</w:t>
      </w:r>
      <w:r>
        <w:rPr>
          <w:rFonts w:hint="eastAsia" w:cstheme="minorBidi"/>
          <w:szCs w:val="22"/>
        </w:rPr>
        <w:t>调整前骆湖片区成片开发范围布局图</w:t>
      </w:r>
    </w:p>
    <w:p>
      <w:pPr>
        <w:pStyle w:val="2"/>
        <w:snapToGrid w:val="0"/>
        <w:jc w:val="both"/>
      </w:pPr>
      <w:r>
        <w:rPr>
          <w:rFonts w:hint="eastAsia"/>
        </w:rPr>
        <w:drawing>
          <wp:inline distT="0" distB="0" distL="114300" distR="114300">
            <wp:extent cx="5471795" cy="3871595"/>
            <wp:effectExtent l="0" t="0" r="14605" b="14605"/>
            <wp:docPr id="1" name="图片 1" descr="调整前成片开发范围布局图 农高核心区片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调整前成片开发范围布局图 农高核心区片区"/>
                    <pic:cNvPicPr>
                      <a:picLocks noChangeAspect="1"/>
                    </pic:cNvPicPr>
                  </pic:nvPicPr>
                  <pic:blipFill>
                    <a:blip r:embed="rId18"/>
                    <a:stretch>
                      <a:fillRect/>
                    </a:stretch>
                  </pic:blipFill>
                  <pic:spPr>
                    <a:xfrm>
                      <a:off x="0" y="0"/>
                      <a:ext cx="5471795" cy="3871595"/>
                    </a:xfrm>
                    <a:prstGeom prst="rect">
                      <a:avLst/>
                    </a:prstGeom>
                  </pic:spPr>
                </pic:pic>
              </a:graphicData>
            </a:graphic>
          </wp:inline>
        </w:drawing>
      </w:r>
    </w:p>
    <w:p>
      <w:pPr>
        <w:pStyle w:val="11"/>
        <w:snapToGrid w:val="0"/>
        <w:rPr>
          <w:rFonts w:cstheme="minorBidi"/>
          <w:szCs w:val="22"/>
        </w:rPr>
      </w:pPr>
      <w:r>
        <w:rPr>
          <w:rFonts w:hint="eastAsia" w:cstheme="minorBidi"/>
          <w:szCs w:val="22"/>
        </w:rPr>
        <w:t>图2-</w:t>
      </w:r>
      <w:r>
        <w:rPr>
          <w:rFonts w:cstheme="minorBidi"/>
          <w:szCs w:val="22"/>
        </w:rPr>
        <w:t>4</w:t>
      </w:r>
      <w:r>
        <w:rPr>
          <w:rFonts w:hint="eastAsia" w:cstheme="minorBidi"/>
          <w:szCs w:val="22"/>
        </w:rPr>
        <w:t>调整前农高核心区片区成片开发范围布局图</w:t>
      </w:r>
    </w:p>
    <w:p>
      <w:pPr>
        <w:pStyle w:val="2"/>
        <w:snapToGrid w:val="0"/>
        <w:jc w:val="both"/>
      </w:pPr>
      <w:r>
        <w:rPr>
          <w:rFonts w:hint="eastAsia"/>
        </w:rPr>
        <w:drawing>
          <wp:inline distT="0" distB="0" distL="114300" distR="114300">
            <wp:extent cx="5471795" cy="3871595"/>
            <wp:effectExtent l="0" t="0" r="14605" b="14605"/>
            <wp:docPr id="11" name="图片 11" descr="调整前成片开发范围布局图 船塘片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调整前成片开发范围布局图 船塘片区"/>
                    <pic:cNvPicPr>
                      <a:picLocks noChangeAspect="1"/>
                    </pic:cNvPicPr>
                  </pic:nvPicPr>
                  <pic:blipFill>
                    <a:blip r:embed="rId19"/>
                    <a:stretch>
                      <a:fillRect/>
                    </a:stretch>
                  </pic:blipFill>
                  <pic:spPr>
                    <a:xfrm>
                      <a:off x="0" y="0"/>
                      <a:ext cx="5471795" cy="3871595"/>
                    </a:xfrm>
                    <a:prstGeom prst="rect">
                      <a:avLst/>
                    </a:prstGeom>
                  </pic:spPr>
                </pic:pic>
              </a:graphicData>
            </a:graphic>
          </wp:inline>
        </w:drawing>
      </w:r>
    </w:p>
    <w:p>
      <w:pPr>
        <w:pStyle w:val="11"/>
        <w:snapToGrid w:val="0"/>
        <w:rPr>
          <w:rFonts w:cstheme="minorBidi"/>
          <w:szCs w:val="22"/>
        </w:rPr>
      </w:pPr>
      <w:r>
        <w:rPr>
          <w:rFonts w:hint="eastAsia" w:cstheme="minorBidi"/>
          <w:szCs w:val="22"/>
        </w:rPr>
        <w:t>图2-</w:t>
      </w:r>
      <w:r>
        <w:rPr>
          <w:rFonts w:cstheme="minorBidi"/>
          <w:szCs w:val="22"/>
        </w:rPr>
        <w:t>5</w:t>
      </w:r>
      <w:r>
        <w:rPr>
          <w:rFonts w:hint="eastAsia" w:cstheme="minorBidi"/>
          <w:szCs w:val="22"/>
        </w:rPr>
        <w:t>调整前船塘片区成片开发范围布局图</w:t>
      </w:r>
    </w:p>
    <w:p>
      <w:pPr>
        <w:pStyle w:val="2"/>
        <w:snapToGrid w:val="0"/>
        <w:jc w:val="both"/>
      </w:pPr>
      <w:r>
        <w:rPr>
          <w:rFonts w:hint="eastAsia"/>
        </w:rPr>
        <w:drawing>
          <wp:inline distT="0" distB="0" distL="114300" distR="114300">
            <wp:extent cx="5471795" cy="3871595"/>
            <wp:effectExtent l="0" t="0" r="14605" b="14605"/>
            <wp:docPr id="12" name="图片 12" descr="调整前成片开发范围布局图 锡场片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调整前成片开发范围布局图 锡场片区"/>
                    <pic:cNvPicPr>
                      <a:picLocks noChangeAspect="1"/>
                    </pic:cNvPicPr>
                  </pic:nvPicPr>
                  <pic:blipFill>
                    <a:blip r:embed="rId20"/>
                    <a:stretch>
                      <a:fillRect/>
                    </a:stretch>
                  </pic:blipFill>
                  <pic:spPr>
                    <a:xfrm>
                      <a:off x="0" y="0"/>
                      <a:ext cx="5471795" cy="3871595"/>
                    </a:xfrm>
                    <a:prstGeom prst="rect">
                      <a:avLst/>
                    </a:prstGeom>
                  </pic:spPr>
                </pic:pic>
              </a:graphicData>
            </a:graphic>
          </wp:inline>
        </w:drawing>
      </w:r>
    </w:p>
    <w:p>
      <w:pPr>
        <w:pStyle w:val="11"/>
        <w:snapToGrid w:val="0"/>
        <w:rPr>
          <w:rFonts w:cstheme="minorBidi"/>
          <w:szCs w:val="22"/>
        </w:rPr>
      </w:pPr>
      <w:r>
        <w:rPr>
          <w:rFonts w:hint="eastAsia" w:cstheme="minorBidi"/>
          <w:szCs w:val="22"/>
        </w:rPr>
        <w:t>图2-</w:t>
      </w:r>
      <w:r>
        <w:rPr>
          <w:rFonts w:cstheme="minorBidi"/>
          <w:szCs w:val="22"/>
        </w:rPr>
        <w:t>6</w:t>
      </w:r>
      <w:r>
        <w:rPr>
          <w:rFonts w:hint="eastAsia" w:cstheme="minorBidi"/>
          <w:szCs w:val="22"/>
        </w:rPr>
        <w:t>调整前锡场片区成片开发范围布局图</w:t>
      </w:r>
    </w:p>
    <w:p>
      <w:pPr>
        <w:pStyle w:val="2"/>
        <w:snapToGrid w:val="0"/>
        <w:jc w:val="both"/>
      </w:pPr>
      <w:r>
        <w:rPr>
          <w:rFonts w:hint="eastAsia"/>
        </w:rPr>
        <w:drawing>
          <wp:inline distT="0" distB="0" distL="114300" distR="114300">
            <wp:extent cx="5471795" cy="3871595"/>
            <wp:effectExtent l="0" t="0" r="14605" b="14605"/>
            <wp:docPr id="13" name="图片 13" descr="调整前成片开发范围布局图 黄村片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调整前成片开发范围布局图 黄村片区"/>
                    <pic:cNvPicPr>
                      <a:picLocks noChangeAspect="1"/>
                    </pic:cNvPicPr>
                  </pic:nvPicPr>
                  <pic:blipFill>
                    <a:blip r:embed="rId21"/>
                    <a:stretch>
                      <a:fillRect/>
                    </a:stretch>
                  </pic:blipFill>
                  <pic:spPr>
                    <a:xfrm>
                      <a:off x="0" y="0"/>
                      <a:ext cx="5471795" cy="3871595"/>
                    </a:xfrm>
                    <a:prstGeom prst="rect">
                      <a:avLst/>
                    </a:prstGeom>
                  </pic:spPr>
                </pic:pic>
              </a:graphicData>
            </a:graphic>
          </wp:inline>
        </w:drawing>
      </w:r>
    </w:p>
    <w:p>
      <w:pPr>
        <w:pStyle w:val="11"/>
        <w:snapToGrid w:val="0"/>
        <w:rPr>
          <w:rFonts w:cstheme="minorBidi"/>
          <w:szCs w:val="22"/>
        </w:rPr>
      </w:pPr>
      <w:r>
        <w:rPr>
          <w:rFonts w:hint="eastAsia" w:cstheme="minorBidi"/>
          <w:szCs w:val="22"/>
        </w:rPr>
        <w:t>图2-</w:t>
      </w:r>
      <w:r>
        <w:rPr>
          <w:rFonts w:cstheme="minorBidi"/>
          <w:szCs w:val="22"/>
        </w:rPr>
        <w:t>7</w:t>
      </w:r>
      <w:r>
        <w:rPr>
          <w:rFonts w:hint="eastAsia" w:cstheme="minorBidi"/>
          <w:szCs w:val="22"/>
        </w:rPr>
        <w:t>调整前黄村片区成片开发范围布局图</w:t>
      </w:r>
    </w:p>
    <w:p>
      <w:pPr>
        <w:pStyle w:val="5"/>
      </w:pPr>
      <w:r>
        <w:rPr>
          <w:rFonts w:hint="eastAsia"/>
        </w:rPr>
        <w:t>（三）方案成片开发范围公益性用地情况</w:t>
      </w:r>
    </w:p>
    <w:p>
      <w:pPr>
        <w:snapToGrid w:val="0"/>
        <w:ind w:firstLine="560"/>
      </w:pPr>
      <w:r>
        <w:rPr>
          <w:rFonts w:hint="eastAsia"/>
        </w:rPr>
        <w:t>调整前，东源县</w:t>
      </w:r>
      <w:r>
        <w:t>2022</w:t>
      </w:r>
      <w:r>
        <w:rPr>
          <w:rFonts w:hint="eastAsia"/>
        </w:rPr>
        <w:t>年度土地征收成片开发方案各片区公益性用地比例均超过</w:t>
      </w:r>
      <w:r>
        <w:t>40%</w:t>
      </w:r>
      <w:r>
        <w:rPr>
          <w:rFonts w:hint="eastAsia"/>
        </w:rPr>
        <w:t>，满足《自然资源部关于印发</w:t>
      </w:r>
      <w:r>
        <w:t>&lt;</w:t>
      </w:r>
      <w:r>
        <w:rPr>
          <w:rFonts w:hint="eastAsia"/>
        </w:rPr>
        <w:t>土地征收成片开发标准（试行）</w:t>
      </w:r>
      <w:r>
        <w:t>&gt;</w:t>
      </w:r>
      <w:r>
        <w:rPr>
          <w:rFonts w:hint="eastAsia"/>
        </w:rPr>
        <w:t>的通知》（自然资规〔</w:t>
      </w:r>
      <w:r>
        <w:t>2023</w:t>
      </w:r>
      <w:r>
        <w:rPr>
          <w:rFonts w:hint="eastAsia"/>
        </w:rPr>
        <w:t>〕</w:t>
      </w:r>
      <w:r>
        <w:t>7</w:t>
      </w:r>
      <w:r>
        <w:rPr>
          <w:rFonts w:hint="eastAsia"/>
        </w:rPr>
        <w:t>号）、《广东省自然资源厅关于规范土地征收成片开发工作的通知》（粤自然资发〔</w:t>
      </w:r>
      <w:r>
        <w:t>2021</w:t>
      </w:r>
      <w:r>
        <w:rPr>
          <w:rFonts w:hint="eastAsia"/>
        </w:rPr>
        <w:t>〕</w:t>
      </w:r>
      <w:r>
        <w:t>20</w:t>
      </w:r>
      <w:r>
        <w:rPr>
          <w:rFonts w:hint="eastAsia"/>
        </w:rPr>
        <w:t>号）对土地征收成片开发范围内基础设施、公共服务设施以及其他公益性用地比例不低于</w:t>
      </w:r>
      <w:r>
        <w:t>40%</w:t>
      </w:r>
      <w:r>
        <w:rPr>
          <w:rFonts w:hint="eastAsia"/>
        </w:rPr>
        <w:t>的要求。</w:t>
      </w:r>
    </w:p>
    <w:p>
      <w:pPr>
        <w:pStyle w:val="11"/>
        <w:snapToGrid w:val="0"/>
        <w:spacing w:line="240" w:lineRule="auto"/>
      </w:pPr>
      <w:r>
        <w:rPr>
          <w:rFonts w:hint="eastAsia"/>
        </w:rPr>
        <w:t>表2-2 调整前各片区公益性用地情况统计表</w:t>
      </w:r>
    </w:p>
    <w:p>
      <w:pPr>
        <w:snapToGrid w:val="0"/>
        <w:spacing w:line="240" w:lineRule="auto"/>
        <w:ind w:firstLine="0" w:firstLineChars="0"/>
        <w:jc w:val="right"/>
        <w:rPr>
          <w:sz w:val="24"/>
        </w:rPr>
      </w:pPr>
      <w:r>
        <w:rPr>
          <w:rFonts w:hint="eastAsia"/>
          <w:sz w:val="24"/>
        </w:rPr>
        <w:t>单位：公顷</w:t>
      </w:r>
    </w:p>
    <w:tbl>
      <w:tblPr>
        <w:tblStyle w:val="24"/>
        <w:tblW w:w="515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10"/>
        <w:gridCol w:w="1657"/>
        <w:gridCol w:w="1309"/>
        <w:gridCol w:w="1193"/>
        <w:gridCol w:w="1172"/>
        <w:gridCol w:w="1395"/>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trPr>
        <w:tc>
          <w:tcPr>
            <w:tcW w:w="286"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kern w:val="0"/>
                <w:sz w:val="21"/>
                <w:szCs w:val="21"/>
              </w:rPr>
            </w:pPr>
            <w:r>
              <w:rPr>
                <w:rFonts w:cs="Times New Roman"/>
                <w:b/>
                <w:bCs/>
                <w:color w:val="000000"/>
                <w:sz w:val="21"/>
                <w:szCs w:val="21"/>
              </w:rPr>
              <w:t>序号</w:t>
            </w:r>
          </w:p>
        </w:tc>
        <w:tc>
          <w:tcPr>
            <w:tcW w:w="929"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sz w:val="21"/>
                <w:szCs w:val="21"/>
              </w:rPr>
            </w:pPr>
            <w:r>
              <w:rPr>
                <w:rFonts w:cs="Times New Roman"/>
                <w:b/>
                <w:bCs/>
                <w:color w:val="000000"/>
                <w:sz w:val="21"/>
                <w:szCs w:val="21"/>
              </w:rPr>
              <w:t>成片开发范围</w:t>
            </w:r>
          </w:p>
        </w:tc>
        <w:tc>
          <w:tcPr>
            <w:tcW w:w="733"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b/>
                <w:bCs/>
                <w:color w:val="000000"/>
                <w:sz w:val="21"/>
                <w:szCs w:val="21"/>
              </w:rPr>
            </w:pPr>
            <w:r>
              <w:rPr>
                <w:rFonts w:hint="eastAsia" w:cs="Times New Roman"/>
                <w:b/>
                <w:bCs/>
                <w:color w:val="000000"/>
                <w:sz w:val="21"/>
                <w:szCs w:val="21"/>
              </w:rPr>
              <w:t>地块名称</w:t>
            </w:r>
          </w:p>
        </w:tc>
        <w:tc>
          <w:tcPr>
            <w:tcW w:w="669"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sz w:val="21"/>
                <w:szCs w:val="21"/>
              </w:rPr>
            </w:pPr>
            <w:r>
              <w:rPr>
                <w:rFonts w:cs="Times New Roman"/>
                <w:b/>
                <w:bCs/>
                <w:color w:val="000000"/>
                <w:sz w:val="21"/>
                <w:szCs w:val="21"/>
              </w:rPr>
              <w:t>总面积</w:t>
            </w:r>
          </w:p>
        </w:tc>
        <w:tc>
          <w:tcPr>
            <w:tcW w:w="657"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b/>
                <w:bCs/>
                <w:color w:val="000000"/>
                <w:sz w:val="21"/>
                <w:szCs w:val="21"/>
              </w:rPr>
            </w:pPr>
            <w:r>
              <w:rPr>
                <w:rFonts w:cs="Times New Roman"/>
                <w:b/>
                <w:bCs/>
                <w:color w:val="000000"/>
                <w:sz w:val="21"/>
                <w:szCs w:val="21"/>
              </w:rPr>
              <w:t>公益性用地面积</w:t>
            </w:r>
          </w:p>
        </w:tc>
        <w:tc>
          <w:tcPr>
            <w:tcW w:w="782"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sz w:val="21"/>
                <w:szCs w:val="21"/>
              </w:rPr>
            </w:pPr>
            <w:r>
              <w:rPr>
                <w:rFonts w:cs="Times New Roman"/>
                <w:b/>
                <w:bCs/>
                <w:color w:val="000000"/>
                <w:sz w:val="21"/>
                <w:szCs w:val="21"/>
              </w:rPr>
              <w:t>非公益性用地面积</w:t>
            </w:r>
          </w:p>
        </w:tc>
        <w:tc>
          <w:tcPr>
            <w:tcW w:w="941"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sz w:val="21"/>
                <w:szCs w:val="21"/>
              </w:rPr>
            </w:pPr>
            <w:r>
              <w:rPr>
                <w:rFonts w:cs="Times New Roman"/>
                <w:b/>
                <w:bCs/>
                <w:color w:val="000000"/>
                <w:sz w:val="21"/>
                <w:szCs w:val="21"/>
              </w:rPr>
              <w:t>公益性用地占比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86" w:type="pct"/>
            <w:vMerge w:val="restart"/>
            <w:tcBorders>
              <w:top w:val="single" w:color="auto" w:sz="4" w:space="0"/>
              <w:left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cs="Times New Roman"/>
                <w:color w:val="000000"/>
                <w:sz w:val="21"/>
                <w:szCs w:val="21"/>
              </w:rPr>
              <w:t>1</w:t>
            </w:r>
          </w:p>
        </w:tc>
        <w:tc>
          <w:tcPr>
            <w:tcW w:w="929" w:type="pct"/>
            <w:vMerge w:val="restart"/>
            <w:tcBorders>
              <w:top w:val="single" w:color="auto" w:sz="4" w:space="0"/>
              <w:left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sz w:val="21"/>
                <w:szCs w:val="21"/>
              </w:rPr>
            </w:pPr>
            <w:r>
              <w:rPr>
                <w:rFonts w:hint="eastAsia" w:cs="Times New Roman"/>
                <w:color w:val="000000"/>
                <w:sz w:val="21"/>
                <w:szCs w:val="21"/>
              </w:rPr>
              <w:t>盐东产业转移园片区</w:t>
            </w:r>
          </w:p>
        </w:tc>
        <w:tc>
          <w:tcPr>
            <w:tcW w:w="733"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地块一</w:t>
            </w:r>
          </w:p>
        </w:tc>
        <w:tc>
          <w:tcPr>
            <w:tcW w:w="669"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0.3297</w:t>
            </w:r>
          </w:p>
        </w:tc>
        <w:tc>
          <w:tcPr>
            <w:tcW w:w="657"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0.2224</w:t>
            </w:r>
          </w:p>
        </w:tc>
        <w:tc>
          <w:tcPr>
            <w:tcW w:w="782"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0.1073</w:t>
            </w:r>
          </w:p>
        </w:tc>
        <w:tc>
          <w:tcPr>
            <w:tcW w:w="941"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67.46</w:t>
            </w:r>
            <w:r>
              <w:rPr>
                <w:rFonts w:hint="eastAsia" w:eastAsia="宋体"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86" w:type="pct"/>
            <w:vMerge w:val="continue"/>
            <w:tcBorders>
              <w:left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p>
        </w:tc>
        <w:tc>
          <w:tcPr>
            <w:tcW w:w="929" w:type="pct"/>
            <w:vMerge w:val="continue"/>
            <w:tcBorders>
              <w:left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p>
        </w:tc>
        <w:tc>
          <w:tcPr>
            <w:tcW w:w="733"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地块二</w:t>
            </w:r>
          </w:p>
        </w:tc>
        <w:tc>
          <w:tcPr>
            <w:tcW w:w="669"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0.016</w:t>
            </w:r>
          </w:p>
        </w:tc>
        <w:tc>
          <w:tcPr>
            <w:tcW w:w="657"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0.0065</w:t>
            </w:r>
          </w:p>
        </w:tc>
        <w:tc>
          <w:tcPr>
            <w:tcW w:w="782"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0.0095</w:t>
            </w:r>
          </w:p>
        </w:tc>
        <w:tc>
          <w:tcPr>
            <w:tcW w:w="941"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40.63</w:t>
            </w:r>
            <w:r>
              <w:rPr>
                <w:rFonts w:hint="eastAsia" w:eastAsia="宋体"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86" w:type="pct"/>
            <w:vMerge w:val="continue"/>
            <w:tcBorders>
              <w:left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p>
        </w:tc>
        <w:tc>
          <w:tcPr>
            <w:tcW w:w="929" w:type="pct"/>
            <w:vMerge w:val="continue"/>
            <w:tcBorders>
              <w:left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p>
        </w:tc>
        <w:tc>
          <w:tcPr>
            <w:tcW w:w="733"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地块三</w:t>
            </w:r>
          </w:p>
        </w:tc>
        <w:tc>
          <w:tcPr>
            <w:tcW w:w="669"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0.0021</w:t>
            </w:r>
          </w:p>
        </w:tc>
        <w:tc>
          <w:tcPr>
            <w:tcW w:w="657"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0.0009</w:t>
            </w:r>
          </w:p>
        </w:tc>
        <w:tc>
          <w:tcPr>
            <w:tcW w:w="782"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0.0012</w:t>
            </w:r>
          </w:p>
        </w:tc>
        <w:tc>
          <w:tcPr>
            <w:tcW w:w="941"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42.86</w:t>
            </w:r>
            <w:r>
              <w:rPr>
                <w:rFonts w:hint="eastAsia" w:eastAsia="宋体"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86" w:type="pct"/>
            <w:vMerge w:val="continue"/>
            <w:tcBorders>
              <w:left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p>
        </w:tc>
        <w:tc>
          <w:tcPr>
            <w:tcW w:w="929" w:type="pct"/>
            <w:vMerge w:val="continue"/>
            <w:tcBorders>
              <w:left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p>
        </w:tc>
        <w:tc>
          <w:tcPr>
            <w:tcW w:w="733"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地块四</w:t>
            </w:r>
          </w:p>
        </w:tc>
        <w:tc>
          <w:tcPr>
            <w:tcW w:w="669"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11.2635</w:t>
            </w:r>
          </w:p>
        </w:tc>
        <w:tc>
          <w:tcPr>
            <w:tcW w:w="657"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4.5876</w:t>
            </w:r>
          </w:p>
        </w:tc>
        <w:tc>
          <w:tcPr>
            <w:tcW w:w="782"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6.6759</w:t>
            </w:r>
          </w:p>
        </w:tc>
        <w:tc>
          <w:tcPr>
            <w:tcW w:w="941"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40.73</w:t>
            </w:r>
            <w:r>
              <w:rPr>
                <w:rFonts w:hint="eastAsia" w:eastAsia="宋体"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86" w:type="pct"/>
            <w:vMerge w:val="continue"/>
            <w:tcBorders>
              <w:left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p>
        </w:tc>
        <w:tc>
          <w:tcPr>
            <w:tcW w:w="929" w:type="pct"/>
            <w:vMerge w:val="continue"/>
            <w:tcBorders>
              <w:left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p>
        </w:tc>
        <w:tc>
          <w:tcPr>
            <w:tcW w:w="733"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地块五</w:t>
            </w:r>
          </w:p>
        </w:tc>
        <w:tc>
          <w:tcPr>
            <w:tcW w:w="669"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8.0893</w:t>
            </w:r>
          </w:p>
        </w:tc>
        <w:tc>
          <w:tcPr>
            <w:tcW w:w="657"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3.2598</w:t>
            </w:r>
          </w:p>
        </w:tc>
        <w:tc>
          <w:tcPr>
            <w:tcW w:w="782"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4.8295</w:t>
            </w:r>
          </w:p>
        </w:tc>
        <w:tc>
          <w:tcPr>
            <w:tcW w:w="941"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40.3</w:t>
            </w:r>
            <w:r>
              <w:rPr>
                <w:rFonts w:hint="eastAsia" w:eastAsia="宋体"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86" w:type="pct"/>
            <w:vMerge w:val="continue"/>
            <w:tcBorders>
              <w:left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p>
        </w:tc>
        <w:tc>
          <w:tcPr>
            <w:tcW w:w="929" w:type="pct"/>
            <w:vMerge w:val="continue"/>
            <w:tcBorders>
              <w:left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p>
        </w:tc>
        <w:tc>
          <w:tcPr>
            <w:tcW w:w="733"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地块六</w:t>
            </w:r>
          </w:p>
        </w:tc>
        <w:tc>
          <w:tcPr>
            <w:tcW w:w="669"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63.9804</w:t>
            </w:r>
          </w:p>
        </w:tc>
        <w:tc>
          <w:tcPr>
            <w:tcW w:w="657"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25.647</w:t>
            </w:r>
          </w:p>
        </w:tc>
        <w:tc>
          <w:tcPr>
            <w:tcW w:w="782"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38.3334</w:t>
            </w:r>
          </w:p>
        </w:tc>
        <w:tc>
          <w:tcPr>
            <w:tcW w:w="941"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40.09</w:t>
            </w:r>
            <w:r>
              <w:rPr>
                <w:rFonts w:hint="eastAsia" w:eastAsia="宋体"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86" w:type="pct"/>
            <w:vMerge w:val="continue"/>
            <w:tcBorders>
              <w:left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p>
        </w:tc>
        <w:tc>
          <w:tcPr>
            <w:tcW w:w="929" w:type="pct"/>
            <w:vMerge w:val="continue"/>
            <w:tcBorders>
              <w:left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p>
        </w:tc>
        <w:tc>
          <w:tcPr>
            <w:tcW w:w="733"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地块七</w:t>
            </w:r>
          </w:p>
        </w:tc>
        <w:tc>
          <w:tcPr>
            <w:tcW w:w="669"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0.2634</w:t>
            </w:r>
          </w:p>
        </w:tc>
        <w:tc>
          <w:tcPr>
            <w:tcW w:w="657"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0.1071</w:t>
            </w:r>
          </w:p>
        </w:tc>
        <w:tc>
          <w:tcPr>
            <w:tcW w:w="782"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0.1563</w:t>
            </w:r>
          </w:p>
        </w:tc>
        <w:tc>
          <w:tcPr>
            <w:tcW w:w="941"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40.66</w:t>
            </w:r>
            <w:r>
              <w:rPr>
                <w:rFonts w:hint="eastAsia" w:eastAsia="宋体"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86" w:type="pct"/>
            <w:vMerge w:val="continue"/>
            <w:tcBorders>
              <w:left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p>
        </w:tc>
        <w:tc>
          <w:tcPr>
            <w:tcW w:w="929" w:type="pct"/>
            <w:vMerge w:val="continue"/>
            <w:tcBorders>
              <w:left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p>
        </w:tc>
        <w:tc>
          <w:tcPr>
            <w:tcW w:w="733"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地块八</w:t>
            </w:r>
          </w:p>
        </w:tc>
        <w:tc>
          <w:tcPr>
            <w:tcW w:w="669"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0.0676</w:t>
            </w:r>
          </w:p>
        </w:tc>
        <w:tc>
          <w:tcPr>
            <w:tcW w:w="657"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0.028</w:t>
            </w:r>
          </w:p>
        </w:tc>
        <w:tc>
          <w:tcPr>
            <w:tcW w:w="782"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0.0396</w:t>
            </w:r>
          </w:p>
        </w:tc>
        <w:tc>
          <w:tcPr>
            <w:tcW w:w="941"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41.42</w:t>
            </w:r>
            <w:r>
              <w:rPr>
                <w:rFonts w:hint="eastAsia" w:eastAsia="宋体"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86" w:type="pct"/>
            <w:vMerge w:val="continue"/>
            <w:tcBorders>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p>
        </w:tc>
        <w:tc>
          <w:tcPr>
            <w:tcW w:w="929" w:type="pct"/>
            <w:vMerge w:val="continue"/>
            <w:tcBorders>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sz w:val="21"/>
                <w:szCs w:val="21"/>
              </w:rPr>
            </w:pPr>
          </w:p>
        </w:tc>
        <w:tc>
          <w:tcPr>
            <w:tcW w:w="733"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地块九</w:t>
            </w:r>
          </w:p>
        </w:tc>
        <w:tc>
          <w:tcPr>
            <w:tcW w:w="669"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0.0122</w:t>
            </w:r>
          </w:p>
        </w:tc>
        <w:tc>
          <w:tcPr>
            <w:tcW w:w="657"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0.0051</w:t>
            </w:r>
          </w:p>
        </w:tc>
        <w:tc>
          <w:tcPr>
            <w:tcW w:w="782"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0.0071</w:t>
            </w:r>
          </w:p>
        </w:tc>
        <w:tc>
          <w:tcPr>
            <w:tcW w:w="941"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41.8</w:t>
            </w:r>
            <w:r>
              <w:rPr>
                <w:rFonts w:hint="eastAsia" w:eastAsia="宋体" w:cs="Times New Roman"/>
                <w:color w:val="000000"/>
                <w:kern w:val="0"/>
                <w:sz w:val="21"/>
                <w:szCs w:val="21"/>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86" w:type="pct"/>
            <w:vMerge w:val="restart"/>
            <w:tcBorders>
              <w:top w:val="single" w:color="auto" w:sz="4" w:space="0"/>
              <w:left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cs="Times New Roman"/>
                <w:color w:val="000000"/>
                <w:sz w:val="21"/>
                <w:szCs w:val="21"/>
              </w:rPr>
              <w:t>2</w:t>
            </w:r>
          </w:p>
        </w:tc>
        <w:tc>
          <w:tcPr>
            <w:tcW w:w="929" w:type="pct"/>
            <w:vMerge w:val="restart"/>
            <w:tcBorders>
              <w:top w:val="single" w:color="auto" w:sz="4" w:space="0"/>
              <w:left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sz w:val="21"/>
                <w:szCs w:val="21"/>
              </w:rPr>
            </w:pPr>
            <w:r>
              <w:rPr>
                <w:rFonts w:hint="eastAsia" w:cs="Times New Roman"/>
                <w:color w:val="000000"/>
                <w:sz w:val="21"/>
                <w:szCs w:val="21"/>
              </w:rPr>
              <w:t>灯塔片区</w:t>
            </w:r>
          </w:p>
        </w:tc>
        <w:tc>
          <w:tcPr>
            <w:tcW w:w="733"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地块十</w:t>
            </w:r>
          </w:p>
        </w:tc>
        <w:tc>
          <w:tcPr>
            <w:tcW w:w="669"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8.6036</w:t>
            </w:r>
          </w:p>
        </w:tc>
        <w:tc>
          <w:tcPr>
            <w:tcW w:w="657"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3.4541</w:t>
            </w:r>
          </w:p>
        </w:tc>
        <w:tc>
          <w:tcPr>
            <w:tcW w:w="782"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5.1495</w:t>
            </w:r>
          </w:p>
        </w:tc>
        <w:tc>
          <w:tcPr>
            <w:tcW w:w="941"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40.15</w:t>
            </w:r>
            <w:r>
              <w:rPr>
                <w:rFonts w:hint="eastAsia" w:eastAsia="宋体"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86" w:type="pct"/>
            <w:vMerge w:val="continue"/>
            <w:tcBorders>
              <w:left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p>
        </w:tc>
        <w:tc>
          <w:tcPr>
            <w:tcW w:w="929" w:type="pct"/>
            <w:vMerge w:val="continue"/>
            <w:tcBorders>
              <w:left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p>
        </w:tc>
        <w:tc>
          <w:tcPr>
            <w:tcW w:w="733"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地块十一</w:t>
            </w:r>
          </w:p>
        </w:tc>
        <w:tc>
          <w:tcPr>
            <w:tcW w:w="669"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2.9632</w:t>
            </w:r>
          </w:p>
        </w:tc>
        <w:tc>
          <w:tcPr>
            <w:tcW w:w="657"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1.1884</w:t>
            </w:r>
          </w:p>
        </w:tc>
        <w:tc>
          <w:tcPr>
            <w:tcW w:w="782"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1.7748</w:t>
            </w:r>
          </w:p>
        </w:tc>
        <w:tc>
          <w:tcPr>
            <w:tcW w:w="941"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40.11</w:t>
            </w:r>
            <w:r>
              <w:rPr>
                <w:rFonts w:hint="eastAsia" w:eastAsia="宋体"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86" w:type="pct"/>
            <w:vMerge w:val="continue"/>
            <w:tcBorders>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p>
        </w:tc>
        <w:tc>
          <w:tcPr>
            <w:tcW w:w="929" w:type="pct"/>
            <w:vMerge w:val="continue"/>
            <w:tcBorders>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sz w:val="21"/>
                <w:szCs w:val="21"/>
              </w:rPr>
            </w:pPr>
          </w:p>
        </w:tc>
        <w:tc>
          <w:tcPr>
            <w:tcW w:w="733"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地块十二</w:t>
            </w:r>
          </w:p>
        </w:tc>
        <w:tc>
          <w:tcPr>
            <w:tcW w:w="669"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2.3268</w:t>
            </w:r>
          </w:p>
        </w:tc>
        <w:tc>
          <w:tcPr>
            <w:tcW w:w="657"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0.9464</w:t>
            </w:r>
          </w:p>
        </w:tc>
        <w:tc>
          <w:tcPr>
            <w:tcW w:w="782"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1.3804</w:t>
            </w:r>
          </w:p>
        </w:tc>
        <w:tc>
          <w:tcPr>
            <w:tcW w:w="941"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40.67</w:t>
            </w:r>
            <w:r>
              <w:rPr>
                <w:rFonts w:hint="eastAsia" w:eastAsia="宋体"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86" w:type="pct"/>
            <w:vMerge w:val="restart"/>
            <w:tcBorders>
              <w:top w:val="single" w:color="auto" w:sz="4" w:space="0"/>
              <w:left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cs="Times New Roman"/>
                <w:color w:val="000000"/>
                <w:sz w:val="21"/>
                <w:szCs w:val="21"/>
              </w:rPr>
              <w:t>3</w:t>
            </w:r>
          </w:p>
        </w:tc>
        <w:tc>
          <w:tcPr>
            <w:tcW w:w="929" w:type="pct"/>
            <w:vMerge w:val="restart"/>
            <w:tcBorders>
              <w:top w:val="single" w:color="auto" w:sz="4" w:space="0"/>
              <w:left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骆湖片区</w:t>
            </w:r>
          </w:p>
        </w:tc>
        <w:tc>
          <w:tcPr>
            <w:tcW w:w="733"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地块十三</w:t>
            </w:r>
          </w:p>
        </w:tc>
        <w:tc>
          <w:tcPr>
            <w:tcW w:w="669"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11.1665</w:t>
            </w:r>
          </w:p>
        </w:tc>
        <w:tc>
          <w:tcPr>
            <w:tcW w:w="657"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4.4975</w:t>
            </w:r>
          </w:p>
        </w:tc>
        <w:tc>
          <w:tcPr>
            <w:tcW w:w="782"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6.669</w:t>
            </w:r>
          </w:p>
        </w:tc>
        <w:tc>
          <w:tcPr>
            <w:tcW w:w="941"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40.28</w:t>
            </w:r>
            <w:r>
              <w:rPr>
                <w:rFonts w:hint="eastAsia" w:eastAsia="宋体"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86" w:type="pct"/>
            <w:vMerge w:val="continue"/>
            <w:tcBorders>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p>
        </w:tc>
        <w:tc>
          <w:tcPr>
            <w:tcW w:w="929" w:type="pct"/>
            <w:vMerge w:val="continue"/>
            <w:tcBorders>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p>
        </w:tc>
        <w:tc>
          <w:tcPr>
            <w:tcW w:w="733"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地块十四</w:t>
            </w:r>
          </w:p>
        </w:tc>
        <w:tc>
          <w:tcPr>
            <w:tcW w:w="669"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2.2264</w:t>
            </w:r>
          </w:p>
        </w:tc>
        <w:tc>
          <w:tcPr>
            <w:tcW w:w="657"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0.8931</w:t>
            </w:r>
          </w:p>
        </w:tc>
        <w:tc>
          <w:tcPr>
            <w:tcW w:w="782"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1.3333</w:t>
            </w:r>
          </w:p>
        </w:tc>
        <w:tc>
          <w:tcPr>
            <w:tcW w:w="941"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40.11</w:t>
            </w:r>
            <w:r>
              <w:rPr>
                <w:rFonts w:hint="eastAsia" w:eastAsia="宋体"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86" w:type="pct"/>
            <w:vMerge w:val="restart"/>
            <w:tcBorders>
              <w:top w:val="single" w:color="auto" w:sz="4" w:space="0"/>
              <w:left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4</w:t>
            </w:r>
          </w:p>
        </w:tc>
        <w:tc>
          <w:tcPr>
            <w:tcW w:w="929" w:type="pct"/>
            <w:vMerge w:val="restart"/>
            <w:tcBorders>
              <w:top w:val="single" w:color="auto" w:sz="4" w:space="0"/>
              <w:left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农高核心区片区</w:t>
            </w:r>
          </w:p>
        </w:tc>
        <w:tc>
          <w:tcPr>
            <w:tcW w:w="733"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地块十五</w:t>
            </w:r>
          </w:p>
        </w:tc>
        <w:tc>
          <w:tcPr>
            <w:tcW w:w="669"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1.4299</w:t>
            </w:r>
          </w:p>
        </w:tc>
        <w:tc>
          <w:tcPr>
            <w:tcW w:w="657"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0.5881</w:t>
            </w:r>
          </w:p>
        </w:tc>
        <w:tc>
          <w:tcPr>
            <w:tcW w:w="782"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0.8418</w:t>
            </w:r>
          </w:p>
        </w:tc>
        <w:tc>
          <w:tcPr>
            <w:tcW w:w="941"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41.13</w:t>
            </w:r>
            <w:r>
              <w:rPr>
                <w:rFonts w:hint="eastAsia" w:eastAsia="宋体"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86" w:type="pct"/>
            <w:vMerge w:val="continue"/>
            <w:tcBorders>
              <w:left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p>
        </w:tc>
        <w:tc>
          <w:tcPr>
            <w:tcW w:w="929" w:type="pct"/>
            <w:vMerge w:val="continue"/>
            <w:tcBorders>
              <w:left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p>
        </w:tc>
        <w:tc>
          <w:tcPr>
            <w:tcW w:w="733"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地块十六</w:t>
            </w:r>
          </w:p>
        </w:tc>
        <w:tc>
          <w:tcPr>
            <w:tcW w:w="669"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65.6515</w:t>
            </w:r>
          </w:p>
        </w:tc>
        <w:tc>
          <w:tcPr>
            <w:tcW w:w="657"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26.4646</w:t>
            </w:r>
          </w:p>
        </w:tc>
        <w:tc>
          <w:tcPr>
            <w:tcW w:w="782"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39.1869</w:t>
            </w:r>
          </w:p>
        </w:tc>
        <w:tc>
          <w:tcPr>
            <w:tcW w:w="941"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40.31</w:t>
            </w:r>
            <w:r>
              <w:rPr>
                <w:rFonts w:hint="eastAsia" w:eastAsia="宋体"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86" w:type="pct"/>
            <w:vMerge w:val="continue"/>
            <w:tcBorders>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p>
        </w:tc>
        <w:tc>
          <w:tcPr>
            <w:tcW w:w="929" w:type="pct"/>
            <w:vMerge w:val="continue"/>
            <w:tcBorders>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p>
        </w:tc>
        <w:tc>
          <w:tcPr>
            <w:tcW w:w="733"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地块十七</w:t>
            </w:r>
          </w:p>
        </w:tc>
        <w:tc>
          <w:tcPr>
            <w:tcW w:w="669"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5.582</w:t>
            </w:r>
          </w:p>
        </w:tc>
        <w:tc>
          <w:tcPr>
            <w:tcW w:w="657"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2.2365</w:t>
            </w:r>
          </w:p>
        </w:tc>
        <w:tc>
          <w:tcPr>
            <w:tcW w:w="782"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3.3455</w:t>
            </w:r>
          </w:p>
        </w:tc>
        <w:tc>
          <w:tcPr>
            <w:tcW w:w="941"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40.07</w:t>
            </w:r>
            <w:r>
              <w:rPr>
                <w:rFonts w:hint="eastAsia" w:eastAsia="宋体"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86"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5</w:t>
            </w:r>
          </w:p>
        </w:tc>
        <w:tc>
          <w:tcPr>
            <w:tcW w:w="929"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船塘片区</w:t>
            </w:r>
          </w:p>
        </w:tc>
        <w:tc>
          <w:tcPr>
            <w:tcW w:w="733"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地块十八</w:t>
            </w:r>
          </w:p>
        </w:tc>
        <w:tc>
          <w:tcPr>
            <w:tcW w:w="669"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0.5746</w:t>
            </w:r>
          </w:p>
        </w:tc>
        <w:tc>
          <w:tcPr>
            <w:tcW w:w="657"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0.2364</w:t>
            </w:r>
          </w:p>
        </w:tc>
        <w:tc>
          <w:tcPr>
            <w:tcW w:w="782"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0.3382</w:t>
            </w:r>
          </w:p>
        </w:tc>
        <w:tc>
          <w:tcPr>
            <w:tcW w:w="941"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41.14</w:t>
            </w:r>
            <w:r>
              <w:rPr>
                <w:rFonts w:hint="eastAsia" w:eastAsia="宋体"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86"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6</w:t>
            </w:r>
          </w:p>
        </w:tc>
        <w:tc>
          <w:tcPr>
            <w:tcW w:w="929"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锡场片区</w:t>
            </w:r>
          </w:p>
        </w:tc>
        <w:tc>
          <w:tcPr>
            <w:tcW w:w="733"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地块十九</w:t>
            </w:r>
          </w:p>
        </w:tc>
        <w:tc>
          <w:tcPr>
            <w:tcW w:w="669"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0.1688</w:t>
            </w:r>
          </w:p>
        </w:tc>
        <w:tc>
          <w:tcPr>
            <w:tcW w:w="657"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0.0688</w:t>
            </w:r>
          </w:p>
        </w:tc>
        <w:tc>
          <w:tcPr>
            <w:tcW w:w="782"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0.1</w:t>
            </w:r>
          </w:p>
        </w:tc>
        <w:tc>
          <w:tcPr>
            <w:tcW w:w="941"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40.76</w:t>
            </w:r>
            <w:r>
              <w:rPr>
                <w:rFonts w:hint="eastAsia" w:eastAsia="宋体"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86"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7</w:t>
            </w:r>
          </w:p>
        </w:tc>
        <w:tc>
          <w:tcPr>
            <w:tcW w:w="929"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黄村片区</w:t>
            </w:r>
          </w:p>
        </w:tc>
        <w:tc>
          <w:tcPr>
            <w:tcW w:w="733"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地块二十</w:t>
            </w:r>
          </w:p>
        </w:tc>
        <w:tc>
          <w:tcPr>
            <w:tcW w:w="669"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0.3333</w:t>
            </w:r>
          </w:p>
        </w:tc>
        <w:tc>
          <w:tcPr>
            <w:tcW w:w="657"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0.1606</w:t>
            </w:r>
          </w:p>
        </w:tc>
        <w:tc>
          <w:tcPr>
            <w:tcW w:w="782"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0.1727</w:t>
            </w:r>
          </w:p>
        </w:tc>
        <w:tc>
          <w:tcPr>
            <w:tcW w:w="941"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48.18</w:t>
            </w:r>
            <w:r>
              <w:rPr>
                <w:rFonts w:hint="eastAsia" w:eastAsia="宋体"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949" w:type="pct"/>
            <w:gridSpan w:val="3"/>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cs="Times New Roman"/>
                <w:color w:val="000000"/>
                <w:sz w:val="21"/>
                <w:szCs w:val="21"/>
              </w:rPr>
              <w:t>合计</w:t>
            </w:r>
          </w:p>
        </w:tc>
        <w:tc>
          <w:tcPr>
            <w:tcW w:w="669"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eastAsia="宋体" w:cs="Times New Roman"/>
                <w:color w:val="000000"/>
                <w:kern w:val="0"/>
                <w:sz w:val="21"/>
                <w:szCs w:val="21"/>
                <w:lang w:bidi="ar"/>
              </w:rPr>
              <w:t>185.0508</w:t>
            </w:r>
          </w:p>
        </w:tc>
        <w:tc>
          <w:tcPr>
            <w:tcW w:w="657"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cs="Times New Roman"/>
                <w:color w:val="000000"/>
                <w:sz w:val="21"/>
                <w:szCs w:val="21"/>
              </w:rPr>
              <w:t>74.5989</w:t>
            </w:r>
          </w:p>
        </w:tc>
        <w:tc>
          <w:tcPr>
            <w:tcW w:w="782"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110.4519</w:t>
            </w:r>
          </w:p>
        </w:tc>
        <w:tc>
          <w:tcPr>
            <w:tcW w:w="941"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cs="Times New Roman"/>
                <w:color w:val="000000"/>
                <w:sz w:val="21"/>
                <w:szCs w:val="21"/>
              </w:rPr>
              <w:t>40.31</w:t>
            </w:r>
            <w:r>
              <w:rPr>
                <w:rFonts w:hint="eastAsia" w:eastAsia="宋体" w:cs="Times New Roman"/>
                <w:color w:val="000000"/>
                <w:kern w:val="0"/>
                <w:sz w:val="21"/>
                <w:szCs w:val="21"/>
                <w:lang w:bidi="ar"/>
              </w:rPr>
              <w:t>%</w:t>
            </w:r>
          </w:p>
        </w:tc>
      </w:tr>
    </w:tbl>
    <w:p>
      <w:pPr>
        <w:spacing w:line="240" w:lineRule="auto"/>
        <w:ind w:firstLine="0" w:firstLineChars="0"/>
      </w:pPr>
    </w:p>
    <w:p>
      <w:pPr>
        <w:pStyle w:val="5"/>
      </w:pPr>
      <w:r>
        <w:rPr>
          <w:rFonts w:hint="eastAsia"/>
        </w:rPr>
        <w:t>（四）方案实施情况</w:t>
      </w:r>
    </w:p>
    <w:p>
      <w:pPr>
        <w:ind w:firstLine="560"/>
      </w:pPr>
      <w:r>
        <w:rPr>
          <w:rFonts w:hint="eastAsia"/>
        </w:rPr>
        <w:t>调整前，</w:t>
      </w:r>
      <w:r>
        <w:rPr>
          <w:rFonts w:cs="Times New Roman"/>
          <w:szCs w:val="28"/>
        </w:rPr>
        <w:t>河源市</w:t>
      </w:r>
      <w:r>
        <w:rPr>
          <w:rFonts w:hint="eastAsia" w:cs="Times New Roman"/>
          <w:szCs w:val="28"/>
        </w:rPr>
        <w:t>东源县</w:t>
      </w:r>
      <w:r>
        <w:rPr>
          <w:rFonts w:cs="Times New Roman"/>
          <w:szCs w:val="28"/>
        </w:rPr>
        <w:t>2022年度土地征收成片开发方案</w:t>
      </w:r>
      <w:r>
        <w:rPr>
          <w:rFonts w:hint="eastAsia"/>
        </w:rPr>
        <w:t>共安排18个项目，共需征收集体土地面积111.7239公顷。其中计划在202</w:t>
      </w:r>
      <w:r>
        <w:t>2</w:t>
      </w:r>
      <w:r>
        <w:rPr>
          <w:rFonts w:hint="eastAsia"/>
        </w:rPr>
        <w:t>年完成6.8429公顷土地征收，已完成征地用地报批面积5.6378公顷。</w:t>
      </w:r>
    </w:p>
    <w:p>
      <w:pPr>
        <w:pStyle w:val="2"/>
      </w:pPr>
    </w:p>
    <w:p>
      <w:pPr>
        <w:pStyle w:val="11"/>
        <w:spacing w:line="240" w:lineRule="auto"/>
      </w:pPr>
      <w:r>
        <w:t>表2-</w:t>
      </w:r>
      <w:r>
        <w:rPr>
          <w:rFonts w:hint="eastAsia"/>
        </w:rPr>
        <w:t>3 调整前成片开发方案202</w:t>
      </w:r>
      <w:r>
        <w:t>2</w:t>
      </w:r>
      <w:r>
        <w:rPr>
          <w:rFonts w:hint="eastAsia"/>
        </w:rPr>
        <w:t>年拟征收项目实施情况表</w:t>
      </w:r>
    </w:p>
    <w:p>
      <w:pPr>
        <w:spacing w:line="79" w:lineRule="exact"/>
        <w:ind w:firstLine="560"/>
      </w:pPr>
    </w:p>
    <w:tbl>
      <w:tblPr>
        <w:tblStyle w:val="23"/>
        <w:tblW w:w="8926" w:type="dxa"/>
        <w:tblInd w:w="0" w:type="dxa"/>
        <w:tblLayout w:type="autofit"/>
        <w:tblCellMar>
          <w:top w:w="0" w:type="dxa"/>
          <w:left w:w="108" w:type="dxa"/>
          <w:bottom w:w="0" w:type="dxa"/>
          <w:right w:w="108" w:type="dxa"/>
        </w:tblCellMar>
      </w:tblPr>
      <w:tblGrid>
        <w:gridCol w:w="988"/>
        <w:gridCol w:w="1401"/>
        <w:gridCol w:w="1277"/>
        <w:gridCol w:w="1276"/>
        <w:gridCol w:w="1149"/>
        <w:gridCol w:w="2835"/>
      </w:tblGrid>
      <w:tr>
        <w:tblPrEx>
          <w:tblCellMar>
            <w:top w:w="0" w:type="dxa"/>
            <w:left w:w="108" w:type="dxa"/>
            <w:bottom w:w="0" w:type="dxa"/>
            <w:right w:w="108" w:type="dxa"/>
          </w:tblCellMar>
        </w:tblPrEx>
        <w:trPr>
          <w:trHeight w:val="20" w:hRule="atLeast"/>
          <w:tblHeader/>
        </w:trPr>
        <w:tc>
          <w:tcPr>
            <w:tcW w:w="988"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napToGrid w:val="0"/>
              <w:spacing w:line="240" w:lineRule="auto"/>
              <w:ind w:firstLine="0" w:firstLineChars="0"/>
              <w:jc w:val="center"/>
              <w:rPr>
                <w:rFonts w:cs="Times New Roman"/>
                <w:b/>
                <w:bCs/>
                <w:color w:val="000000"/>
                <w:kern w:val="0"/>
                <w:sz w:val="21"/>
                <w:szCs w:val="21"/>
              </w:rPr>
            </w:pPr>
            <w:r>
              <w:rPr>
                <w:rFonts w:cs="Times New Roman"/>
                <w:b/>
                <w:bCs/>
                <w:color w:val="000000"/>
                <w:kern w:val="0"/>
                <w:sz w:val="21"/>
                <w:szCs w:val="21"/>
              </w:rPr>
              <w:t>成片开发范围</w:t>
            </w:r>
          </w:p>
        </w:tc>
        <w:tc>
          <w:tcPr>
            <w:tcW w:w="1401"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napToGrid w:val="0"/>
              <w:spacing w:line="240" w:lineRule="auto"/>
              <w:ind w:firstLine="0" w:firstLineChars="0"/>
              <w:jc w:val="center"/>
              <w:rPr>
                <w:rFonts w:cs="Times New Roman"/>
                <w:b/>
                <w:bCs/>
                <w:color w:val="000000"/>
                <w:kern w:val="0"/>
                <w:sz w:val="21"/>
                <w:szCs w:val="21"/>
              </w:rPr>
            </w:pPr>
            <w:r>
              <w:rPr>
                <w:rFonts w:cs="Times New Roman"/>
                <w:b/>
                <w:bCs/>
                <w:color w:val="000000"/>
                <w:kern w:val="0"/>
                <w:sz w:val="21"/>
                <w:szCs w:val="21"/>
              </w:rPr>
              <w:t>项目名称</w:t>
            </w:r>
          </w:p>
        </w:tc>
        <w:tc>
          <w:tcPr>
            <w:tcW w:w="1277"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napToGrid w:val="0"/>
              <w:spacing w:line="240" w:lineRule="auto"/>
              <w:ind w:firstLine="0" w:firstLineChars="0"/>
              <w:jc w:val="center"/>
              <w:rPr>
                <w:rFonts w:cs="Times New Roman"/>
                <w:b/>
                <w:bCs/>
                <w:color w:val="000000"/>
                <w:kern w:val="0"/>
                <w:sz w:val="21"/>
                <w:szCs w:val="21"/>
              </w:rPr>
            </w:pPr>
            <w:r>
              <w:rPr>
                <w:rFonts w:cs="Times New Roman"/>
                <w:b/>
                <w:bCs/>
                <w:color w:val="000000"/>
                <w:kern w:val="0"/>
                <w:sz w:val="21"/>
                <w:szCs w:val="21"/>
              </w:rPr>
              <w:t>拟征收面积（公顷）</w:t>
            </w:r>
          </w:p>
        </w:tc>
        <w:tc>
          <w:tcPr>
            <w:tcW w:w="1276"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napToGrid w:val="0"/>
              <w:spacing w:line="240" w:lineRule="auto"/>
              <w:ind w:firstLine="0" w:firstLineChars="0"/>
              <w:jc w:val="center"/>
              <w:rPr>
                <w:rFonts w:cs="Times New Roman"/>
                <w:b/>
                <w:bCs/>
                <w:color w:val="000000"/>
                <w:kern w:val="0"/>
                <w:sz w:val="21"/>
                <w:szCs w:val="21"/>
              </w:rPr>
            </w:pPr>
            <w:r>
              <w:rPr>
                <w:rFonts w:cs="Times New Roman"/>
                <w:b/>
                <w:bCs/>
                <w:color w:val="000000"/>
                <w:kern w:val="0"/>
                <w:sz w:val="21"/>
                <w:szCs w:val="21"/>
              </w:rPr>
              <w:t>已报批面积（公顷）</w:t>
            </w:r>
          </w:p>
        </w:tc>
        <w:tc>
          <w:tcPr>
            <w:tcW w:w="1149"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napToGrid w:val="0"/>
              <w:spacing w:line="240" w:lineRule="auto"/>
              <w:ind w:firstLine="0" w:firstLineChars="0"/>
              <w:jc w:val="center"/>
              <w:rPr>
                <w:rFonts w:cs="Times New Roman"/>
                <w:b/>
                <w:bCs/>
                <w:color w:val="000000"/>
                <w:kern w:val="0"/>
                <w:sz w:val="21"/>
                <w:szCs w:val="21"/>
              </w:rPr>
            </w:pPr>
            <w:r>
              <w:rPr>
                <w:rFonts w:cs="Times New Roman"/>
                <w:b/>
                <w:bCs/>
                <w:color w:val="000000"/>
                <w:kern w:val="0"/>
                <w:sz w:val="21"/>
                <w:szCs w:val="21"/>
              </w:rPr>
              <w:t>组卷报批状态</w:t>
            </w:r>
          </w:p>
        </w:tc>
        <w:tc>
          <w:tcPr>
            <w:tcW w:w="2835"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napToGrid w:val="0"/>
              <w:spacing w:line="240" w:lineRule="auto"/>
              <w:ind w:firstLine="0" w:firstLineChars="0"/>
              <w:jc w:val="center"/>
              <w:rPr>
                <w:rFonts w:cs="Times New Roman"/>
                <w:b/>
                <w:bCs/>
                <w:color w:val="000000"/>
                <w:kern w:val="0"/>
                <w:sz w:val="21"/>
                <w:szCs w:val="21"/>
              </w:rPr>
            </w:pPr>
            <w:r>
              <w:rPr>
                <w:rFonts w:cs="Times New Roman"/>
                <w:b/>
                <w:bCs/>
                <w:color w:val="000000"/>
                <w:kern w:val="0"/>
                <w:sz w:val="21"/>
                <w:szCs w:val="21"/>
              </w:rPr>
              <w:t>备注</w:t>
            </w:r>
          </w:p>
        </w:tc>
      </w:tr>
      <w:tr>
        <w:tblPrEx>
          <w:tblCellMar>
            <w:top w:w="0" w:type="dxa"/>
            <w:left w:w="108" w:type="dxa"/>
            <w:bottom w:w="0" w:type="dxa"/>
            <w:right w:w="108" w:type="dxa"/>
          </w:tblCellMar>
        </w:tblPrEx>
        <w:trPr>
          <w:trHeight w:val="20" w:hRule="atLeast"/>
        </w:trPr>
        <w:tc>
          <w:tcPr>
            <w:tcW w:w="98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盐东产业转移园片区</w:t>
            </w:r>
          </w:p>
        </w:tc>
        <w:tc>
          <w:tcPr>
            <w:tcW w:w="14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盐田东源共建现代物流园建设项目</w:t>
            </w:r>
          </w:p>
        </w:tc>
        <w:tc>
          <w:tcPr>
            <w:tcW w:w="12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4.8380</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3.8496</w:t>
            </w:r>
          </w:p>
        </w:tc>
        <w:tc>
          <w:tcPr>
            <w:tcW w:w="11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其中3.8496公顷</w:t>
            </w:r>
            <w:r>
              <w:rPr>
                <w:rFonts w:cs="Times New Roman"/>
                <w:color w:val="000000"/>
                <w:kern w:val="0"/>
                <w:sz w:val="21"/>
                <w:szCs w:val="21"/>
              </w:rPr>
              <w:t>已取得用地批复</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sz w:val="18"/>
                <w:szCs w:val="18"/>
              </w:rPr>
            </w:pPr>
            <w:r>
              <w:rPr>
                <w:rFonts w:hint="eastAsia"/>
                <w:sz w:val="21"/>
                <w:szCs w:val="21"/>
              </w:rPr>
              <w:t>3.8495公顷为东源县2017年度七批次城镇建设用地，0.0001公顷为东源县2018年度第十批次城镇建设用地</w:t>
            </w:r>
          </w:p>
        </w:tc>
      </w:tr>
      <w:tr>
        <w:tblPrEx>
          <w:tblCellMar>
            <w:top w:w="0" w:type="dxa"/>
            <w:left w:w="108" w:type="dxa"/>
            <w:bottom w:w="0" w:type="dxa"/>
            <w:right w:w="108" w:type="dxa"/>
          </w:tblCellMar>
        </w:tblPrEx>
        <w:trPr>
          <w:trHeight w:val="20" w:hRule="atLeast"/>
        </w:trPr>
        <w:tc>
          <w:tcPr>
            <w:tcW w:w="98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p>
        </w:tc>
        <w:tc>
          <w:tcPr>
            <w:tcW w:w="14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东源县梅子大道土地储备项目</w:t>
            </w:r>
          </w:p>
        </w:tc>
        <w:tc>
          <w:tcPr>
            <w:tcW w:w="12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0.2167</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0</w:t>
            </w:r>
          </w:p>
        </w:tc>
        <w:tc>
          <w:tcPr>
            <w:tcW w:w="11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hint="eastAsia" w:eastAsia="仿宋_GB2312" w:cs="Times New Roman"/>
                <w:color w:val="000000"/>
                <w:kern w:val="0"/>
                <w:sz w:val="21"/>
                <w:szCs w:val="21"/>
                <w:lang w:eastAsia="zh-CN"/>
              </w:rPr>
            </w:pPr>
            <w:r>
              <w:rPr>
                <w:rFonts w:hint="eastAsia" w:cs="Times New Roman"/>
                <w:color w:val="000000"/>
                <w:kern w:val="0"/>
                <w:sz w:val="21"/>
                <w:szCs w:val="21"/>
                <w:lang w:val="en-US" w:eastAsia="zh-CN"/>
              </w:rPr>
              <w:t>暂停组卷</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东源县2022年度第一批次城镇建设用地</w:t>
            </w:r>
          </w:p>
        </w:tc>
      </w:tr>
      <w:tr>
        <w:tblPrEx>
          <w:tblCellMar>
            <w:top w:w="0" w:type="dxa"/>
            <w:left w:w="108" w:type="dxa"/>
            <w:bottom w:w="0" w:type="dxa"/>
            <w:right w:w="108" w:type="dxa"/>
          </w:tblCellMar>
        </w:tblPrEx>
        <w:trPr>
          <w:trHeight w:val="20" w:hRule="atLeast"/>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灯塔片区</w:t>
            </w:r>
          </w:p>
        </w:tc>
        <w:tc>
          <w:tcPr>
            <w:tcW w:w="14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东源县灯塔镇商品混凝土搅拌站建设项目</w:t>
            </w:r>
          </w:p>
        </w:tc>
        <w:tc>
          <w:tcPr>
            <w:tcW w:w="12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1.7882</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1.7882</w:t>
            </w:r>
          </w:p>
        </w:tc>
        <w:tc>
          <w:tcPr>
            <w:tcW w:w="11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已取得用地批复</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东源县2022年度第七批次城镇建设用地项目</w:t>
            </w:r>
          </w:p>
        </w:tc>
      </w:tr>
      <w:tr>
        <w:tblPrEx>
          <w:tblCellMar>
            <w:top w:w="0" w:type="dxa"/>
            <w:left w:w="108" w:type="dxa"/>
            <w:bottom w:w="0" w:type="dxa"/>
            <w:right w:w="108" w:type="dxa"/>
          </w:tblCellMar>
        </w:tblPrEx>
        <w:trPr>
          <w:trHeight w:val="20" w:hRule="atLeast"/>
        </w:trPr>
        <w:tc>
          <w:tcPr>
            <w:tcW w:w="238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总计</w:t>
            </w:r>
          </w:p>
        </w:tc>
        <w:tc>
          <w:tcPr>
            <w:tcW w:w="12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6.8429</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5.6378</w:t>
            </w:r>
          </w:p>
        </w:tc>
        <w:tc>
          <w:tcPr>
            <w:tcW w:w="11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w:t>
            </w:r>
          </w:p>
        </w:tc>
      </w:tr>
    </w:tbl>
    <w:p>
      <w:pPr>
        <w:ind w:firstLine="0" w:firstLineChars="0"/>
        <w:rPr>
          <w:sz w:val="21"/>
        </w:rPr>
      </w:pPr>
      <w:r>
        <w:rPr>
          <w:rFonts w:hint="eastAsia"/>
          <w:sz w:val="21"/>
        </w:rPr>
        <w:t>注：完成报批面积为广东省土地管理与决策支持系统压占导出面积。</w:t>
      </w:r>
    </w:p>
    <w:p>
      <w:pPr>
        <w:ind w:firstLine="560"/>
      </w:pPr>
      <w:r>
        <w:rPr>
          <w:rFonts w:hint="eastAsia"/>
        </w:rPr>
        <w:t>计划在202</w:t>
      </w:r>
      <w:r>
        <w:t>3</w:t>
      </w:r>
      <w:r>
        <w:rPr>
          <w:rFonts w:hint="eastAsia"/>
        </w:rPr>
        <w:t>年完成10.5433公顷土地征收，其中5.9057公顷计划征收土地已取得用地批复。</w:t>
      </w:r>
    </w:p>
    <w:p>
      <w:pPr>
        <w:pStyle w:val="11"/>
        <w:spacing w:line="240" w:lineRule="auto"/>
        <w:rPr>
          <w:highlight w:val="none"/>
        </w:rPr>
      </w:pPr>
      <w:r>
        <w:t>表2-</w:t>
      </w:r>
      <w:r>
        <w:rPr>
          <w:rFonts w:hint="eastAsia"/>
        </w:rPr>
        <w:t>4</w:t>
      </w:r>
      <w:r>
        <w:rPr>
          <w:rFonts w:hint="eastAsia"/>
          <w:highlight w:val="none"/>
        </w:rPr>
        <w:t xml:space="preserve"> </w:t>
      </w:r>
      <w:r>
        <w:rPr>
          <w:highlight w:val="none"/>
        </w:rPr>
        <w:t>调整前成片开发方案202</w:t>
      </w:r>
      <w:r>
        <w:rPr>
          <w:rFonts w:hint="eastAsia"/>
          <w:highlight w:val="none"/>
        </w:rPr>
        <w:t>3</w:t>
      </w:r>
      <w:r>
        <w:rPr>
          <w:highlight w:val="none"/>
        </w:rPr>
        <w:t>年拟征收项目实施情况表</w:t>
      </w:r>
    </w:p>
    <w:p>
      <w:pPr>
        <w:spacing w:line="81" w:lineRule="exact"/>
        <w:ind w:firstLine="560"/>
        <w:rPr>
          <w:highlight w:val="none"/>
        </w:rPr>
      </w:pPr>
    </w:p>
    <w:tbl>
      <w:tblPr>
        <w:tblStyle w:val="23"/>
        <w:tblW w:w="9344"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8"/>
        <w:gridCol w:w="1774"/>
        <w:gridCol w:w="1479"/>
        <w:gridCol w:w="1560"/>
        <w:gridCol w:w="1134"/>
        <w:gridCol w:w="2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trPr>
        <w:tc>
          <w:tcPr>
            <w:tcW w:w="858" w:type="dxa"/>
            <w:shd w:val="clear" w:color="auto" w:fill="auto"/>
            <w:vAlign w:val="center"/>
          </w:tcPr>
          <w:p>
            <w:pPr>
              <w:widowControl/>
              <w:snapToGrid w:val="0"/>
              <w:spacing w:line="240" w:lineRule="auto"/>
              <w:ind w:firstLine="0" w:firstLineChars="0"/>
              <w:jc w:val="center"/>
              <w:rPr>
                <w:rFonts w:cs="Times New Roman"/>
                <w:b/>
                <w:bCs/>
                <w:color w:val="000000"/>
                <w:kern w:val="0"/>
                <w:sz w:val="21"/>
                <w:szCs w:val="21"/>
                <w:highlight w:val="none"/>
              </w:rPr>
            </w:pPr>
            <w:r>
              <w:rPr>
                <w:rFonts w:cs="Times New Roman"/>
                <w:b/>
                <w:bCs/>
                <w:color w:val="000000"/>
                <w:kern w:val="0"/>
                <w:sz w:val="21"/>
                <w:szCs w:val="21"/>
                <w:highlight w:val="none"/>
              </w:rPr>
              <w:t>成片开发范围</w:t>
            </w:r>
          </w:p>
        </w:tc>
        <w:tc>
          <w:tcPr>
            <w:tcW w:w="1774" w:type="dxa"/>
            <w:shd w:val="clear" w:color="auto" w:fill="auto"/>
            <w:vAlign w:val="center"/>
          </w:tcPr>
          <w:p>
            <w:pPr>
              <w:widowControl/>
              <w:snapToGrid w:val="0"/>
              <w:spacing w:line="240" w:lineRule="auto"/>
              <w:ind w:firstLine="0" w:firstLineChars="0"/>
              <w:jc w:val="center"/>
              <w:rPr>
                <w:rFonts w:cs="Times New Roman"/>
                <w:b/>
                <w:bCs/>
                <w:color w:val="000000"/>
                <w:kern w:val="0"/>
                <w:sz w:val="21"/>
                <w:szCs w:val="21"/>
                <w:highlight w:val="none"/>
              </w:rPr>
            </w:pPr>
            <w:r>
              <w:rPr>
                <w:rFonts w:cs="Times New Roman"/>
                <w:b/>
                <w:bCs/>
                <w:color w:val="000000"/>
                <w:kern w:val="0"/>
                <w:sz w:val="21"/>
                <w:szCs w:val="21"/>
                <w:highlight w:val="none"/>
              </w:rPr>
              <w:t>项目名称</w:t>
            </w:r>
          </w:p>
        </w:tc>
        <w:tc>
          <w:tcPr>
            <w:tcW w:w="1479" w:type="dxa"/>
            <w:shd w:val="clear" w:color="auto" w:fill="auto"/>
            <w:vAlign w:val="center"/>
          </w:tcPr>
          <w:p>
            <w:pPr>
              <w:widowControl/>
              <w:snapToGrid w:val="0"/>
              <w:spacing w:line="240" w:lineRule="auto"/>
              <w:ind w:firstLine="0" w:firstLineChars="0"/>
              <w:jc w:val="center"/>
              <w:rPr>
                <w:rFonts w:cs="Times New Roman"/>
                <w:b/>
                <w:bCs/>
                <w:color w:val="000000"/>
                <w:kern w:val="0"/>
                <w:sz w:val="21"/>
                <w:szCs w:val="21"/>
                <w:highlight w:val="none"/>
              </w:rPr>
            </w:pPr>
            <w:r>
              <w:rPr>
                <w:rFonts w:cs="Times New Roman"/>
                <w:b/>
                <w:bCs/>
                <w:color w:val="000000"/>
                <w:kern w:val="0"/>
                <w:sz w:val="21"/>
                <w:szCs w:val="21"/>
                <w:highlight w:val="none"/>
              </w:rPr>
              <w:t>拟征收面积（公顷）</w:t>
            </w:r>
          </w:p>
        </w:tc>
        <w:tc>
          <w:tcPr>
            <w:tcW w:w="1560" w:type="dxa"/>
            <w:shd w:val="clear" w:color="auto" w:fill="auto"/>
            <w:vAlign w:val="center"/>
          </w:tcPr>
          <w:p>
            <w:pPr>
              <w:widowControl/>
              <w:snapToGrid w:val="0"/>
              <w:spacing w:line="240" w:lineRule="auto"/>
              <w:ind w:firstLine="0" w:firstLineChars="0"/>
              <w:jc w:val="center"/>
              <w:rPr>
                <w:rFonts w:cs="Times New Roman"/>
                <w:b/>
                <w:bCs/>
                <w:color w:val="000000"/>
                <w:kern w:val="0"/>
                <w:sz w:val="21"/>
                <w:szCs w:val="21"/>
                <w:highlight w:val="none"/>
              </w:rPr>
            </w:pPr>
            <w:r>
              <w:rPr>
                <w:rFonts w:cs="Times New Roman"/>
                <w:b/>
                <w:bCs/>
                <w:color w:val="000000"/>
                <w:kern w:val="0"/>
                <w:sz w:val="21"/>
                <w:szCs w:val="21"/>
                <w:highlight w:val="none"/>
              </w:rPr>
              <w:t>已报批面积（公顷）</w:t>
            </w:r>
          </w:p>
        </w:tc>
        <w:tc>
          <w:tcPr>
            <w:tcW w:w="1134" w:type="dxa"/>
            <w:shd w:val="clear" w:color="auto" w:fill="auto"/>
            <w:vAlign w:val="center"/>
          </w:tcPr>
          <w:p>
            <w:pPr>
              <w:widowControl/>
              <w:snapToGrid w:val="0"/>
              <w:spacing w:line="240" w:lineRule="auto"/>
              <w:ind w:firstLine="0" w:firstLineChars="0"/>
              <w:jc w:val="center"/>
              <w:rPr>
                <w:rFonts w:cs="Times New Roman"/>
                <w:b/>
                <w:bCs/>
                <w:color w:val="000000"/>
                <w:kern w:val="0"/>
                <w:sz w:val="21"/>
                <w:szCs w:val="21"/>
                <w:highlight w:val="none"/>
              </w:rPr>
            </w:pPr>
            <w:r>
              <w:rPr>
                <w:rFonts w:cs="Times New Roman"/>
                <w:b/>
                <w:bCs/>
                <w:color w:val="000000"/>
                <w:kern w:val="0"/>
                <w:sz w:val="21"/>
                <w:szCs w:val="21"/>
                <w:highlight w:val="none"/>
              </w:rPr>
              <w:t>组卷报批状态</w:t>
            </w:r>
          </w:p>
        </w:tc>
        <w:tc>
          <w:tcPr>
            <w:tcW w:w="2539" w:type="dxa"/>
            <w:shd w:val="clear" w:color="auto" w:fill="auto"/>
            <w:vAlign w:val="center"/>
          </w:tcPr>
          <w:p>
            <w:pPr>
              <w:widowControl/>
              <w:snapToGrid w:val="0"/>
              <w:spacing w:line="240" w:lineRule="auto"/>
              <w:ind w:firstLine="0" w:firstLineChars="0"/>
              <w:jc w:val="center"/>
              <w:rPr>
                <w:rFonts w:cs="Times New Roman"/>
                <w:b/>
                <w:bCs/>
                <w:color w:val="000000"/>
                <w:kern w:val="0"/>
                <w:sz w:val="21"/>
                <w:szCs w:val="21"/>
                <w:highlight w:val="none"/>
              </w:rPr>
            </w:pPr>
            <w:r>
              <w:rPr>
                <w:rFonts w:cs="Times New Roman"/>
                <w:b/>
                <w:bCs/>
                <w:color w:val="000000"/>
                <w:kern w:val="0"/>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858" w:type="dxa"/>
            <w:vMerge w:val="restart"/>
            <w:shd w:val="clear" w:color="auto" w:fill="auto"/>
            <w:vAlign w:val="center"/>
          </w:tcPr>
          <w:p>
            <w:pPr>
              <w:widowControl/>
              <w:snapToGrid w:val="0"/>
              <w:spacing w:line="240" w:lineRule="auto"/>
              <w:ind w:firstLine="0" w:firstLineChars="0"/>
              <w:jc w:val="center"/>
              <w:rPr>
                <w:rFonts w:cs="Times New Roman"/>
                <w:color w:val="000000"/>
                <w:kern w:val="0"/>
                <w:sz w:val="21"/>
                <w:szCs w:val="21"/>
                <w:highlight w:val="none"/>
              </w:rPr>
            </w:pPr>
            <w:r>
              <w:rPr>
                <w:rFonts w:hint="eastAsia" w:cs="Times New Roman"/>
                <w:color w:val="000000"/>
                <w:kern w:val="0"/>
                <w:sz w:val="21"/>
                <w:szCs w:val="21"/>
                <w:highlight w:val="none"/>
              </w:rPr>
              <w:t>盐东产业转移园片区</w:t>
            </w:r>
          </w:p>
        </w:tc>
        <w:tc>
          <w:tcPr>
            <w:tcW w:w="1774" w:type="dxa"/>
            <w:shd w:val="clear" w:color="auto" w:fill="auto"/>
            <w:vAlign w:val="center"/>
          </w:tcPr>
          <w:p>
            <w:pPr>
              <w:widowControl/>
              <w:snapToGrid w:val="0"/>
              <w:spacing w:line="240" w:lineRule="auto"/>
              <w:ind w:firstLine="0" w:firstLineChars="0"/>
              <w:jc w:val="center"/>
              <w:rPr>
                <w:rFonts w:cs="Times New Roman"/>
                <w:color w:val="000000"/>
                <w:kern w:val="0"/>
                <w:sz w:val="21"/>
                <w:szCs w:val="21"/>
                <w:highlight w:val="none"/>
              </w:rPr>
            </w:pPr>
            <w:r>
              <w:rPr>
                <w:rFonts w:hint="eastAsia" w:cs="Times New Roman"/>
                <w:color w:val="000000"/>
                <w:kern w:val="0"/>
                <w:sz w:val="21"/>
                <w:szCs w:val="21"/>
                <w:highlight w:val="none"/>
              </w:rPr>
              <w:t xml:space="preserve">东源县仙塘镇电商基地建设项目 </w:t>
            </w:r>
          </w:p>
        </w:tc>
        <w:tc>
          <w:tcPr>
            <w:tcW w:w="1479" w:type="dxa"/>
            <w:shd w:val="clear" w:color="auto" w:fill="auto"/>
            <w:vAlign w:val="center"/>
          </w:tcPr>
          <w:p>
            <w:pPr>
              <w:widowControl/>
              <w:snapToGrid w:val="0"/>
              <w:spacing w:line="240" w:lineRule="auto"/>
              <w:ind w:firstLine="0" w:firstLineChars="0"/>
              <w:jc w:val="center"/>
              <w:rPr>
                <w:rFonts w:cs="Times New Roman"/>
                <w:color w:val="000000"/>
                <w:kern w:val="0"/>
                <w:sz w:val="21"/>
                <w:szCs w:val="21"/>
                <w:highlight w:val="none"/>
              </w:rPr>
            </w:pPr>
            <w:r>
              <w:rPr>
                <w:rFonts w:hint="eastAsia" w:cs="Times New Roman"/>
                <w:color w:val="000000"/>
                <w:kern w:val="0"/>
                <w:sz w:val="21"/>
                <w:szCs w:val="21"/>
                <w:highlight w:val="none"/>
              </w:rPr>
              <w:t>2.6730</w:t>
            </w:r>
          </w:p>
        </w:tc>
        <w:tc>
          <w:tcPr>
            <w:tcW w:w="1560" w:type="dxa"/>
            <w:shd w:val="clear" w:color="auto" w:fill="auto"/>
            <w:vAlign w:val="center"/>
          </w:tcPr>
          <w:p>
            <w:pPr>
              <w:widowControl/>
              <w:snapToGrid w:val="0"/>
              <w:spacing w:line="240" w:lineRule="auto"/>
              <w:ind w:firstLine="0" w:firstLineChars="0"/>
              <w:jc w:val="center"/>
              <w:rPr>
                <w:rFonts w:cs="Times New Roman"/>
                <w:color w:val="000000"/>
                <w:kern w:val="0"/>
                <w:sz w:val="21"/>
                <w:szCs w:val="21"/>
                <w:highlight w:val="none"/>
              </w:rPr>
            </w:pPr>
            <w:r>
              <w:rPr>
                <w:rFonts w:hint="eastAsia" w:cs="Times New Roman"/>
                <w:color w:val="000000"/>
                <w:kern w:val="0"/>
                <w:sz w:val="21"/>
                <w:szCs w:val="21"/>
                <w:highlight w:val="none"/>
              </w:rPr>
              <w:t>2.6730</w:t>
            </w:r>
          </w:p>
        </w:tc>
        <w:tc>
          <w:tcPr>
            <w:tcW w:w="1134" w:type="dxa"/>
            <w:shd w:val="clear" w:color="auto" w:fill="auto"/>
            <w:vAlign w:val="center"/>
          </w:tcPr>
          <w:p>
            <w:pPr>
              <w:widowControl/>
              <w:snapToGrid w:val="0"/>
              <w:spacing w:line="240" w:lineRule="auto"/>
              <w:ind w:firstLine="0" w:firstLineChars="0"/>
              <w:jc w:val="center"/>
              <w:rPr>
                <w:rFonts w:hint="default" w:eastAsia="仿宋_GB2312"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已取得用地批复</w:t>
            </w:r>
          </w:p>
        </w:tc>
        <w:tc>
          <w:tcPr>
            <w:tcW w:w="2539" w:type="dxa"/>
            <w:shd w:val="clear" w:color="auto" w:fill="auto"/>
            <w:vAlign w:val="center"/>
          </w:tcPr>
          <w:p>
            <w:pPr>
              <w:widowControl/>
              <w:snapToGrid w:val="0"/>
              <w:spacing w:line="240" w:lineRule="auto"/>
              <w:ind w:firstLine="0" w:firstLineChars="0"/>
              <w:jc w:val="center"/>
              <w:rPr>
                <w:rFonts w:cs="Times New Roman"/>
                <w:color w:val="000000"/>
                <w:kern w:val="0"/>
                <w:sz w:val="21"/>
                <w:szCs w:val="21"/>
                <w:highlight w:val="none"/>
              </w:rPr>
            </w:pPr>
            <w:r>
              <w:rPr>
                <w:rFonts w:hint="eastAsia" w:cs="Times New Roman"/>
                <w:color w:val="000000"/>
                <w:kern w:val="0"/>
                <w:sz w:val="21"/>
                <w:szCs w:val="21"/>
                <w:highlight w:val="none"/>
              </w:rPr>
              <w:t>东源县2022年度第四批次城镇建设用地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858" w:type="dxa"/>
            <w:vMerge w:val="continue"/>
            <w:shd w:val="clear" w:color="auto" w:fill="auto"/>
            <w:vAlign w:val="center"/>
          </w:tcPr>
          <w:p>
            <w:pPr>
              <w:widowControl/>
              <w:snapToGrid w:val="0"/>
              <w:spacing w:line="240" w:lineRule="auto"/>
              <w:ind w:firstLine="0" w:firstLineChars="0"/>
              <w:jc w:val="center"/>
              <w:rPr>
                <w:rFonts w:cs="Times New Roman"/>
                <w:color w:val="000000"/>
                <w:kern w:val="0"/>
                <w:sz w:val="21"/>
                <w:szCs w:val="21"/>
                <w:highlight w:val="none"/>
              </w:rPr>
            </w:pPr>
          </w:p>
        </w:tc>
        <w:tc>
          <w:tcPr>
            <w:tcW w:w="1774" w:type="dxa"/>
            <w:shd w:val="clear" w:color="auto" w:fill="auto"/>
            <w:vAlign w:val="center"/>
          </w:tcPr>
          <w:p>
            <w:pPr>
              <w:widowControl/>
              <w:snapToGrid w:val="0"/>
              <w:spacing w:line="240" w:lineRule="auto"/>
              <w:ind w:firstLine="0" w:firstLineChars="0"/>
              <w:jc w:val="center"/>
              <w:rPr>
                <w:rFonts w:cs="Times New Roman"/>
                <w:color w:val="000000"/>
                <w:kern w:val="0"/>
                <w:sz w:val="21"/>
                <w:szCs w:val="21"/>
                <w:highlight w:val="none"/>
              </w:rPr>
            </w:pPr>
            <w:r>
              <w:rPr>
                <w:rFonts w:hint="eastAsia" w:cs="Times New Roman"/>
                <w:color w:val="000000"/>
                <w:kern w:val="0"/>
                <w:sz w:val="21"/>
                <w:szCs w:val="21"/>
                <w:highlight w:val="none"/>
              </w:rPr>
              <w:t>东源县仙塘镇零配件制造科技园建设项目</w:t>
            </w:r>
          </w:p>
        </w:tc>
        <w:tc>
          <w:tcPr>
            <w:tcW w:w="1479" w:type="dxa"/>
            <w:shd w:val="clear" w:color="auto" w:fill="auto"/>
            <w:vAlign w:val="center"/>
          </w:tcPr>
          <w:p>
            <w:pPr>
              <w:widowControl/>
              <w:snapToGrid w:val="0"/>
              <w:spacing w:line="240" w:lineRule="auto"/>
              <w:ind w:firstLine="0" w:firstLineChars="0"/>
              <w:jc w:val="center"/>
              <w:rPr>
                <w:rFonts w:cs="Times New Roman"/>
                <w:color w:val="000000"/>
                <w:kern w:val="0"/>
                <w:sz w:val="21"/>
                <w:szCs w:val="21"/>
                <w:highlight w:val="none"/>
              </w:rPr>
            </w:pPr>
            <w:r>
              <w:rPr>
                <w:rFonts w:hint="eastAsia" w:cs="Times New Roman"/>
                <w:color w:val="000000"/>
                <w:kern w:val="0"/>
                <w:sz w:val="21"/>
                <w:szCs w:val="21"/>
                <w:highlight w:val="none"/>
              </w:rPr>
              <w:t>1.9309</w:t>
            </w:r>
          </w:p>
        </w:tc>
        <w:tc>
          <w:tcPr>
            <w:tcW w:w="1560" w:type="dxa"/>
            <w:shd w:val="clear" w:color="auto" w:fill="auto"/>
            <w:vAlign w:val="center"/>
          </w:tcPr>
          <w:p>
            <w:pPr>
              <w:widowControl/>
              <w:snapToGrid w:val="0"/>
              <w:spacing w:line="240" w:lineRule="auto"/>
              <w:ind w:firstLine="0" w:firstLineChars="0"/>
              <w:jc w:val="center"/>
              <w:rPr>
                <w:rFonts w:cs="Times New Roman"/>
                <w:color w:val="000000"/>
                <w:kern w:val="0"/>
                <w:sz w:val="21"/>
                <w:szCs w:val="21"/>
                <w:highlight w:val="none"/>
              </w:rPr>
            </w:pPr>
            <w:r>
              <w:rPr>
                <w:rFonts w:hint="eastAsia" w:cs="Times New Roman"/>
                <w:color w:val="000000"/>
                <w:kern w:val="0"/>
                <w:sz w:val="21"/>
                <w:szCs w:val="21"/>
                <w:highlight w:val="none"/>
              </w:rPr>
              <w:t>0</w:t>
            </w:r>
          </w:p>
        </w:tc>
        <w:tc>
          <w:tcPr>
            <w:tcW w:w="1134" w:type="dxa"/>
            <w:shd w:val="clear" w:color="auto" w:fill="auto"/>
            <w:vAlign w:val="center"/>
          </w:tcPr>
          <w:p>
            <w:pPr>
              <w:widowControl/>
              <w:snapToGrid w:val="0"/>
              <w:spacing w:line="240" w:lineRule="auto"/>
              <w:ind w:firstLine="0" w:firstLineChars="0"/>
              <w:jc w:val="center"/>
              <w:rPr>
                <w:rFonts w:cs="Times New Roman"/>
                <w:color w:val="000000"/>
                <w:kern w:val="0"/>
                <w:sz w:val="21"/>
                <w:szCs w:val="21"/>
                <w:highlight w:val="none"/>
              </w:rPr>
            </w:pPr>
            <w:r>
              <w:rPr>
                <w:rFonts w:hint="eastAsia" w:cs="Times New Roman"/>
                <w:color w:val="000000"/>
                <w:kern w:val="0"/>
                <w:sz w:val="21"/>
                <w:szCs w:val="21"/>
                <w:highlight w:val="none"/>
              </w:rPr>
              <w:t>组卷报批中</w:t>
            </w:r>
          </w:p>
        </w:tc>
        <w:tc>
          <w:tcPr>
            <w:tcW w:w="2539" w:type="dxa"/>
            <w:shd w:val="clear" w:color="auto" w:fill="auto"/>
            <w:vAlign w:val="center"/>
          </w:tcPr>
          <w:p>
            <w:pPr>
              <w:widowControl/>
              <w:snapToGrid w:val="0"/>
              <w:spacing w:line="240" w:lineRule="auto"/>
              <w:ind w:firstLine="0" w:firstLineChars="0"/>
              <w:jc w:val="center"/>
              <w:rPr>
                <w:rFonts w:cs="Times New Roman"/>
                <w:color w:val="000000"/>
                <w:kern w:val="0"/>
                <w:sz w:val="21"/>
                <w:szCs w:val="21"/>
                <w:highlight w:val="none"/>
              </w:rPr>
            </w:pPr>
            <w:r>
              <w:rPr>
                <w:rFonts w:hint="eastAsia" w:cs="Times New Roman"/>
                <w:color w:val="000000"/>
                <w:kern w:val="0"/>
                <w:sz w:val="21"/>
                <w:szCs w:val="21"/>
                <w:highlight w:val="none"/>
              </w:rPr>
              <w:t>东源县2022年度第十三批次城镇建设用地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858" w:type="dxa"/>
            <w:vMerge w:val="continue"/>
            <w:shd w:val="clear" w:color="auto" w:fill="auto"/>
            <w:vAlign w:val="center"/>
          </w:tcPr>
          <w:p>
            <w:pPr>
              <w:widowControl/>
              <w:snapToGrid w:val="0"/>
              <w:spacing w:line="240" w:lineRule="auto"/>
              <w:ind w:firstLine="0" w:firstLineChars="0"/>
              <w:jc w:val="center"/>
              <w:rPr>
                <w:rFonts w:cs="Times New Roman"/>
                <w:color w:val="000000"/>
                <w:kern w:val="0"/>
                <w:sz w:val="21"/>
                <w:szCs w:val="21"/>
                <w:highlight w:val="none"/>
              </w:rPr>
            </w:pPr>
          </w:p>
        </w:tc>
        <w:tc>
          <w:tcPr>
            <w:tcW w:w="1774" w:type="dxa"/>
            <w:shd w:val="clear" w:color="auto" w:fill="auto"/>
            <w:vAlign w:val="center"/>
          </w:tcPr>
          <w:p>
            <w:pPr>
              <w:widowControl/>
              <w:snapToGrid w:val="0"/>
              <w:spacing w:line="240" w:lineRule="auto"/>
              <w:ind w:firstLine="0" w:firstLineChars="0"/>
              <w:jc w:val="center"/>
              <w:rPr>
                <w:rFonts w:cs="Times New Roman"/>
                <w:color w:val="000000"/>
                <w:kern w:val="0"/>
                <w:sz w:val="21"/>
                <w:szCs w:val="21"/>
                <w:highlight w:val="none"/>
              </w:rPr>
            </w:pPr>
            <w:r>
              <w:rPr>
                <w:rFonts w:hint="eastAsia" w:cs="Times New Roman"/>
                <w:color w:val="000000"/>
                <w:kern w:val="0"/>
                <w:sz w:val="21"/>
                <w:szCs w:val="21"/>
                <w:highlight w:val="none"/>
              </w:rPr>
              <w:t>东源县仙塘镇建筑模架铝合金产品建设项目</w:t>
            </w:r>
          </w:p>
        </w:tc>
        <w:tc>
          <w:tcPr>
            <w:tcW w:w="1479" w:type="dxa"/>
            <w:shd w:val="clear" w:color="auto" w:fill="auto"/>
            <w:vAlign w:val="center"/>
          </w:tcPr>
          <w:p>
            <w:pPr>
              <w:widowControl/>
              <w:snapToGrid w:val="0"/>
              <w:spacing w:line="240" w:lineRule="auto"/>
              <w:ind w:firstLine="0" w:firstLineChars="0"/>
              <w:jc w:val="center"/>
              <w:rPr>
                <w:rFonts w:cs="Times New Roman"/>
                <w:color w:val="000000"/>
                <w:kern w:val="0"/>
                <w:sz w:val="21"/>
                <w:szCs w:val="21"/>
                <w:highlight w:val="none"/>
              </w:rPr>
            </w:pPr>
            <w:r>
              <w:rPr>
                <w:rFonts w:hint="eastAsia" w:cs="Times New Roman"/>
                <w:color w:val="000000"/>
                <w:kern w:val="0"/>
                <w:sz w:val="21"/>
                <w:szCs w:val="21"/>
                <w:highlight w:val="none"/>
              </w:rPr>
              <w:t>3.2327</w:t>
            </w:r>
          </w:p>
        </w:tc>
        <w:tc>
          <w:tcPr>
            <w:tcW w:w="1560" w:type="dxa"/>
            <w:shd w:val="clear" w:color="auto" w:fill="auto"/>
            <w:vAlign w:val="center"/>
          </w:tcPr>
          <w:p>
            <w:pPr>
              <w:widowControl/>
              <w:snapToGrid w:val="0"/>
              <w:spacing w:line="240" w:lineRule="auto"/>
              <w:ind w:firstLine="0" w:firstLineChars="0"/>
              <w:jc w:val="center"/>
              <w:rPr>
                <w:rFonts w:cs="Times New Roman"/>
                <w:color w:val="000000"/>
                <w:kern w:val="0"/>
                <w:sz w:val="21"/>
                <w:szCs w:val="21"/>
                <w:highlight w:val="none"/>
              </w:rPr>
            </w:pPr>
            <w:r>
              <w:rPr>
                <w:rFonts w:hint="eastAsia" w:cs="Times New Roman"/>
                <w:color w:val="000000"/>
                <w:kern w:val="0"/>
                <w:sz w:val="21"/>
                <w:szCs w:val="21"/>
                <w:highlight w:val="none"/>
              </w:rPr>
              <w:t>3.2327</w:t>
            </w:r>
          </w:p>
        </w:tc>
        <w:tc>
          <w:tcPr>
            <w:tcW w:w="1134" w:type="dxa"/>
            <w:shd w:val="clear" w:color="auto" w:fill="auto"/>
            <w:vAlign w:val="center"/>
          </w:tcPr>
          <w:p>
            <w:pPr>
              <w:widowControl/>
              <w:snapToGrid w:val="0"/>
              <w:spacing w:line="240" w:lineRule="auto"/>
              <w:ind w:firstLine="0" w:firstLineChars="0"/>
              <w:jc w:val="center"/>
              <w:rPr>
                <w:rFonts w:cs="Times New Roman"/>
                <w:color w:val="000000"/>
                <w:kern w:val="0"/>
                <w:sz w:val="21"/>
                <w:szCs w:val="21"/>
                <w:highlight w:val="none"/>
              </w:rPr>
            </w:pPr>
            <w:r>
              <w:rPr>
                <w:rFonts w:hint="eastAsia" w:cs="Times New Roman"/>
                <w:color w:val="000000"/>
                <w:kern w:val="0"/>
                <w:sz w:val="21"/>
                <w:szCs w:val="21"/>
                <w:highlight w:val="none"/>
              </w:rPr>
              <w:t>已取得用地批复</w:t>
            </w:r>
          </w:p>
        </w:tc>
        <w:tc>
          <w:tcPr>
            <w:tcW w:w="2539" w:type="dxa"/>
            <w:shd w:val="clear" w:color="auto" w:fill="auto"/>
            <w:vAlign w:val="center"/>
          </w:tcPr>
          <w:p>
            <w:pPr>
              <w:widowControl/>
              <w:snapToGrid w:val="0"/>
              <w:spacing w:line="240" w:lineRule="auto"/>
              <w:ind w:firstLine="0" w:firstLineChars="0"/>
              <w:jc w:val="center"/>
              <w:rPr>
                <w:rFonts w:cs="Times New Roman"/>
                <w:color w:val="000000"/>
                <w:kern w:val="0"/>
                <w:sz w:val="21"/>
                <w:szCs w:val="21"/>
                <w:highlight w:val="none"/>
              </w:rPr>
            </w:pPr>
            <w:r>
              <w:rPr>
                <w:rFonts w:hint="eastAsia" w:cs="Times New Roman"/>
                <w:color w:val="000000"/>
                <w:kern w:val="0"/>
                <w:sz w:val="21"/>
                <w:szCs w:val="21"/>
                <w:highlight w:val="none"/>
              </w:rPr>
              <w:t>东源县2022年度第十九批次城镇建设用地项目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858" w:type="dxa"/>
            <w:shd w:val="clear" w:color="auto" w:fill="auto"/>
            <w:vAlign w:val="center"/>
          </w:tcPr>
          <w:p>
            <w:pPr>
              <w:widowControl/>
              <w:snapToGrid w:val="0"/>
              <w:spacing w:line="240" w:lineRule="auto"/>
              <w:ind w:firstLine="0" w:firstLineChars="0"/>
              <w:jc w:val="center"/>
              <w:rPr>
                <w:rFonts w:cs="Times New Roman"/>
                <w:color w:val="000000"/>
                <w:kern w:val="0"/>
                <w:sz w:val="21"/>
                <w:szCs w:val="21"/>
                <w:highlight w:val="none"/>
              </w:rPr>
            </w:pPr>
            <w:r>
              <w:rPr>
                <w:rFonts w:hint="eastAsia" w:cs="Times New Roman"/>
                <w:color w:val="000000"/>
                <w:kern w:val="0"/>
                <w:sz w:val="21"/>
                <w:szCs w:val="21"/>
                <w:highlight w:val="none"/>
              </w:rPr>
              <w:t>灯塔片区</w:t>
            </w:r>
          </w:p>
        </w:tc>
        <w:tc>
          <w:tcPr>
            <w:tcW w:w="1774" w:type="dxa"/>
            <w:shd w:val="clear" w:color="auto" w:fill="auto"/>
            <w:vAlign w:val="center"/>
          </w:tcPr>
          <w:p>
            <w:pPr>
              <w:widowControl/>
              <w:snapToGrid w:val="0"/>
              <w:spacing w:line="240" w:lineRule="auto"/>
              <w:ind w:firstLine="0" w:firstLineChars="0"/>
              <w:jc w:val="center"/>
              <w:rPr>
                <w:rFonts w:cs="Times New Roman"/>
                <w:color w:val="000000"/>
                <w:kern w:val="0"/>
                <w:sz w:val="21"/>
                <w:szCs w:val="21"/>
                <w:highlight w:val="none"/>
              </w:rPr>
            </w:pPr>
            <w:r>
              <w:rPr>
                <w:rFonts w:hint="eastAsia" w:cs="Times New Roman"/>
                <w:color w:val="000000"/>
                <w:kern w:val="0"/>
                <w:sz w:val="21"/>
                <w:szCs w:val="21"/>
                <w:highlight w:val="none"/>
              </w:rPr>
              <w:t>东源县灯塔镇机动车辆安全技术检测站建设项目</w:t>
            </w:r>
          </w:p>
        </w:tc>
        <w:tc>
          <w:tcPr>
            <w:tcW w:w="1479" w:type="dxa"/>
            <w:shd w:val="clear" w:color="auto" w:fill="auto"/>
            <w:vAlign w:val="center"/>
          </w:tcPr>
          <w:p>
            <w:pPr>
              <w:widowControl/>
              <w:snapToGrid w:val="0"/>
              <w:spacing w:line="240" w:lineRule="auto"/>
              <w:ind w:firstLine="0" w:firstLineChars="0"/>
              <w:jc w:val="center"/>
              <w:rPr>
                <w:rFonts w:cs="Times New Roman"/>
                <w:color w:val="000000"/>
                <w:kern w:val="0"/>
                <w:sz w:val="21"/>
                <w:szCs w:val="21"/>
                <w:highlight w:val="none"/>
              </w:rPr>
            </w:pPr>
            <w:r>
              <w:rPr>
                <w:rFonts w:hint="eastAsia" w:cs="Times New Roman"/>
                <w:color w:val="000000"/>
                <w:kern w:val="0"/>
                <w:sz w:val="21"/>
                <w:szCs w:val="21"/>
                <w:highlight w:val="none"/>
              </w:rPr>
              <w:t>1.3741</w:t>
            </w:r>
          </w:p>
        </w:tc>
        <w:tc>
          <w:tcPr>
            <w:tcW w:w="1560" w:type="dxa"/>
            <w:shd w:val="clear" w:color="auto" w:fill="auto"/>
            <w:vAlign w:val="center"/>
          </w:tcPr>
          <w:p>
            <w:pPr>
              <w:widowControl/>
              <w:snapToGrid w:val="0"/>
              <w:spacing w:line="240" w:lineRule="auto"/>
              <w:ind w:firstLine="0" w:firstLineChars="0"/>
              <w:jc w:val="center"/>
              <w:rPr>
                <w:rFonts w:cs="Times New Roman"/>
                <w:color w:val="000000"/>
                <w:kern w:val="0"/>
                <w:sz w:val="21"/>
                <w:szCs w:val="21"/>
                <w:highlight w:val="none"/>
              </w:rPr>
            </w:pPr>
            <w:r>
              <w:rPr>
                <w:rFonts w:hint="eastAsia" w:cs="Times New Roman"/>
                <w:color w:val="000000"/>
                <w:kern w:val="0"/>
                <w:sz w:val="21"/>
                <w:szCs w:val="21"/>
                <w:highlight w:val="none"/>
              </w:rPr>
              <w:t>0</w:t>
            </w:r>
          </w:p>
        </w:tc>
        <w:tc>
          <w:tcPr>
            <w:tcW w:w="1134" w:type="dxa"/>
            <w:shd w:val="clear" w:color="auto" w:fill="auto"/>
            <w:vAlign w:val="center"/>
          </w:tcPr>
          <w:p>
            <w:pPr>
              <w:widowControl/>
              <w:snapToGrid w:val="0"/>
              <w:spacing w:line="240" w:lineRule="auto"/>
              <w:ind w:firstLine="0" w:firstLineChars="0"/>
              <w:jc w:val="center"/>
              <w:rPr>
                <w:rFonts w:hint="eastAsia" w:eastAsia="仿宋_GB2312" w:cs="Times New Roman"/>
                <w:color w:val="000000"/>
                <w:kern w:val="0"/>
                <w:sz w:val="21"/>
                <w:szCs w:val="21"/>
                <w:highlight w:val="none"/>
                <w:lang w:eastAsia="zh-CN"/>
              </w:rPr>
            </w:pPr>
            <w:r>
              <w:rPr>
                <w:rFonts w:hint="eastAsia" w:cs="Times New Roman"/>
                <w:color w:val="000000"/>
                <w:kern w:val="0"/>
                <w:sz w:val="21"/>
                <w:szCs w:val="21"/>
                <w:highlight w:val="none"/>
                <w:lang w:val="en-US" w:eastAsia="zh-CN"/>
              </w:rPr>
              <w:t>暂停组卷</w:t>
            </w:r>
          </w:p>
        </w:tc>
        <w:tc>
          <w:tcPr>
            <w:tcW w:w="2539" w:type="dxa"/>
            <w:shd w:val="clear" w:color="auto" w:fill="auto"/>
            <w:vAlign w:val="center"/>
          </w:tcPr>
          <w:p>
            <w:pPr>
              <w:widowControl/>
              <w:snapToGrid w:val="0"/>
              <w:spacing w:line="240" w:lineRule="auto"/>
              <w:ind w:firstLine="0" w:firstLineChars="0"/>
              <w:jc w:val="center"/>
              <w:rPr>
                <w:rFonts w:cs="Times New Roman"/>
                <w:color w:val="000000"/>
                <w:kern w:val="0"/>
                <w:sz w:val="21"/>
                <w:szCs w:val="21"/>
                <w:highlight w:val="none"/>
              </w:rPr>
            </w:pPr>
            <w:r>
              <w:rPr>
                <w:rFonts w:hint="eastAsia" w:cs="Times New Roman"/>
                <w:color w:val="000000"/>
                <w:kern w:val="0"/>
                <w:sz w:val="21"/>
                <w:szCs w:val="21"/>
                <w:highlight w:val="none"/>
              </w:rPr>
              <w:t>东源县2022年度第十六批次城镇建设用地项目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858" w:type="dxa"/>
            <w:shd w:val="clear" w:color="auto" w:fill="auto"/>
            <w:vAlign w:val="center"/>
          </w:tcPr>
          <w:p>
            <w:pPr>
              <w:widowControl/>
              <w:snapToGrid w:val="0"/>
              <w:spacing w:line="240" w:lineRule="auto"/>
              <w:ind w:firstLine="0" w:firstLineChars="0"/>
              <w:jc w:val="center"/>
              <w:rPr>
                <w:rFonts w:cs="Times New Roman"/>
                <w:color w:val="000000"/>
                <w:kern w:val="0"/>
                <w:sz w:val="21"/>
                <w:szCs w:val="21"/>
                <w:highlight w:val="none"/>
              </w:rPr>
            </w:pPr>
            <w:r>
              <w:rPr>
                <w:rFonts w:hint="eastAsia" w:cs="Times New Roman"/>
                <w:color w:val="000000"/>
                <w:kern w:val="0"/>
                <w:sz w:val="21"/>
                <w:szCs w:val="21"/>
                <w:highlight w:val="none"/>
              </w:rPr>
              <w:t>骆湖片区</w:t>
            </w:r>
          </w:p>
        </w:tc>
        <w:tc>
          <w:tcPr>
            <w:tcW w:w="1774" w:type="dxa"/>
            <w:shd w:val="clear" w:color="auto" w:fill="auto"/>
            <w:vAlign w:val="center"/>
          </w:tcPr>
          <w:p>
            <w:pPr>
              <w:widowControl/>
              <w:snapToGrid w:val="0"/>
              <w:spacing w:line="240" w:lineRule="auto"/>
              <w:ind w:firstLine="0" w:firstLineChars="0"/>
              <w:jc w:val="center"/>
              <w:rPr>
                <w:rFonts w:cs="Times New Roman"/>
                <w:color w:val="000000"/>
                <w:kern w:val="0"/>
                <w:sz w:val="21"/>
                <w:szCs w:val="21"/>
                <w:highlight w:val="none"/>
              </w:rPr>
            </w:pPr>
            <w:r>
              <w:rPr>
                <w:rFonts w:hint="eastAsia" w:cs="Times New Roman"/>
                <w:color w:val="000000"/>
                <w:kern w:val="0"/>
                <w:sz w:val="21"/>
                <w:szCs w:val="21"/>
                <w:highlight w:val="none"/>
              </w:rPr>
              <w:t>东源县骆湖镇商品混凝土建设项目</w:t>
            </w:r>
          </w:p>
        </w:tc>
        <w:tc>
          <w:tcPr>
            <w:tcW w:w="1479" w:type="dxa"/>
            <w:shd w:val="clear" w:color="auto" w:fill="auto"/>
            <w:vAlign w:val="center"/>
          </w:tcPr>
          <w:p>
            <w:pPr>
              <w:widowControl/>
              <w:snapToGrid w:val="0"/>
              <w:spacing w:line="240" w:lineRule="auto"/>
              <w:ind w:firstLine="0" w:firstLineChars="0"/>
              <w:jc w:val="center"/>
              <w:rPr>
                <w:rFonts w:cs="Times New Roman"/>
                <w:color w:val="000000"/>
                <w:kern w:val="0"/>
                <w:sz w:val="21"/>
                <w:szCs w:val="21"/>
                <w:highlight w:val="none"/>
              </w:rPr>
            </w:pPr>
            <w:r>
              <w:rPr>
                <w:rFonts w:hint="eastAsia" w:cs="Times New Roman"/>
                <w:color w:val="000000"/>
                <w:kern w:val="0"/>
                <w:sz w:val="21"/>
                <w:szCs w:val="21"/>
                <w:highlight w:val="none"/>
              </w:rPr>
              <w:t>1.3326</w:t>
            </w:r>
          </w:p>
        </w:tc>
        <w:tc>
          <w:tcPr>
            <w:tcW w:w="1560" w:type="dxa"/>
            <w:shd w:val="clear" w:color="auto" w:fill="auto"/>
            <w:vAlign w:val="center"/>
          </w:tcPr>
          <w:p>
            <w:pPr>
              <w:widowControl/>
              <w:snapToGrid w:val="0"/>
              <w:spacing w:line="240" w:lineRule="auto"/>
              <w:ind w:firstLine="0" w:firstLineChars="0"/>
              <w:jc w:val="center"/>
              <w:rPr>
                <w:rFonts w:cs="Times New Roman"/>
                <w:color w:val="000000"/>
                <w:kern w:val="0"/>
                <w:sz w:val="21"/>
                <w:szCs w:val="21"/>
                <w:highlight w:val="none"/>
              </w:rPr>
            </w:pPr>
            <w:r>
              <w:rPr>
                <w:rFonts w:hint="eastAsia" w:cs="Times New Roman"/>
                <w:color w:val="000000"/>
                <w:kern w:val="0"/>
                <w:sz w:val="21"/>
                <w:szCs w:val="21"/>
                <w:highlight w:val="none"/>
              </w:rPr>
              <w:t>0</w:t>
            </w:r>
          </w:p>
        </w:tc>
        <w:tc>
          <w:tcPr>
            <w:tcW w:w="1134" w:type="dxa"/>
            <w:shd w:val="clear" w:color="auto" w:fill="auto"/>
            <w:vAlign w:val="center"/>
          </w:tcPr>
          <w:p>
            <w:pPr>
              <w:widowControl/>
              <w:snapToGrid w:val="0"/>
              <w:spacing w:line="240" w:lineRule="auto"/>
              <w:ind w:firstLine="0" w:firstLineChars="0"/>
              <w:jc w:val="center"/>
              <w:rPr>
                <w:rFonts w:cs="Times New Roman"/>
                <w:color w:val="000000"/>
                <w:kern w:val="0"/>
                <w:sz w:val="21"/>
                <w:szCs w:val="21"/>
                <w:highlight w:val="none"/>
              </w:rPr>
            </w:pPr>
            <w:r>
              <w:rPr>
                <w:rFonts w:hint="eastAsia" w:cs="Times New Roman"/>
                <w:color w:val="000000"/>
                <w:kern w:val="0"/>
                <w:sz w:val="21"/>
                <w:szCs w:val="21"/>
                <w:highlight w:val="none"/>
              </w:rPr>
              <w:t>组卷报批中</w:t>
            </w:r>
          </w:p>
        </w:tc>
        <w:tc>
          <w:tcPr>
            <w:tcW w:w="2539" w:type="dxa"/>
            <w:shd w:val="clear" w:color="auto" w:fill="auto"/>
            <w:vAlign w:val="center"/>
          </w:tcPr>
          <w:p>
            <w:pPr>
              <w:widowControl/>
              <w:snapToGrid w:val="0"/>
              <w:spacing w:line="240" w:lineRule="auto"/>
              <w:ind w:firstLine="0" w:firstLineChars="0"/>
              <w:jc w:val="center"/>
              <w:rPr>
                <w:rFonts w:hint="eastAsia" w:eastAsia="仿宋_GB2312" w:cs="Times New Roman"/>
                <w:color w:val="000000"/>
                <w:kern w:val="0"/>
                <w:sz w:val="21"/>
                <w:szCs w:val="21"/>
                <w:highlight w:val="none"/>
                <w:lang w:val="en-US" w:eastAsia="zh-CN"/>
              </w:rPr>
            </w:pPr>
            <w:r>
              <w:rPr>
                <w:rFonts w:hint="eastAsia" w:cs="Times New Roman"/>
                <w:color w:val="000000"/>
                <w:kern w:val="0"/>
                <w:sz w:val="21"/>
                <w:szCs w:val="21"/>
                <w:highlight w:val="none"/>
              </w:rPr>
              <w:t>东源县2023年度第六十一批次城镇建设用地</w:t>
            </w:r>
            <w:r>
              <w:rPr>
                <w:rFonts w:hint="eastAsia" w:cs="Times New Roman"/>
                <w:color w:val="000000"/>
                <w:kern w:val="0"/>
                <w:sz w:val="21"/>
                <w:szCs w:val="21"/>
                <w:highlight w:val="none"/>
                <w:lang w:val="en-US" w:eastAsia="zh-CN"/>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2632" w:type="dxa"/>
            <w:gridSpan w:val="2"/>
            <w:shd w:val="clear" w:color="auto" w:fill="auto"/>
            <w:vAlign w:val="center"/>
          </w:tcPr>
          <w:p>
            <w:pPr>
              <w:widowControl/>
              <w:snapToGrid w:val="0"/>
              <w:spacing w:line="240" w:lineRule="auto"/>
              <w:ind w:firstLine="0" w:firstLineChars="0"/>
              <w:jc w:val="center"/>
              <w:rPr>
                <w:rFonts w:cs="Times New Roman"/>
                <w:color w:val="000000"/>
                <w:kern w:val="0"/>
                <w:sz w:val="21"/>
                <w:szCs w:val="21"/>
                <w:highlight w:val="none"/>
              </w:rPr>
            </w:pPr>
            <w:r>
              <w:rPr>
                <w:rFonts w:hint="eastAsia" w:cs="Times New Roman"/>
                <w:color w:val="000000"/>
                <w:kern w:val="0"/>
                <w:sz w:val="21"/>
                <w:szCs w:val="21"/>
                <w:highlight w:val="none"/>
              </w:rPr>
              <w:t>总计</w:t>
            </w:r>
          </w:p>
        </w:tc>
        <w:tc>
          <w:tcPr>
            <w:tcW w:w="1479" w:type="dxa"/>
            <w:shd w:val="clear" w:color="auto" w:fill="auto"/>
            <w:vAlign w:val="center"/>
          </w:tcPr>
          <w:p>
            <w:pPr>
              <w:widowControl/>
              <w:snapToGrid w:val="0"/>
              <w:spacing w:line="240" w:lineRule="auto"/>
              <w:ind w:firstLine="0" w:firstLineChars="0"/>
              <w:jc w:val="center"/>
              <w:rPr>
                <w:rFonts w:cs="Times New Roman"/>
                <w:color w:val="000000"/>
                <w:kern w:val="0"/>
                <w:sz w:val="21"/>
                <w:szCs w:val="21"/>
                <w:highlight w:val="none"/>
              </w:rPr>
            </w:pPr>
            <w:r>
              <w:rPr>
                <w:rFonts w:hint="eastAsia" w:cs="Times New Roman"/>
                <w:color w:val="000000"/>
                <w:kern w:val="0"/>
                <w:sz w:val="21"/>
                <w:szCs w:val="21"/>
                <w:highlight w:val="none"/>
              </w:rPr>
              <w:t>10.5433</w:t>
            </w:r>
          </w:p>
        </w:tc>
        <w:tc>
          <w:tcPr>
            <w:tcW w:w="1560" w:type="dxa"/>
            <w:shd w:val="clear" w:color="auto" w:fill="auto"/>
            <w:vAlign w:val="center"/>
          </w:tcPr>
          <w:p>
            <w:pPr>
              <w:widowControl/>
              <w:snapToGrid w:val="0"/>
              <w:spacing w:line="240" w:lineRule="auto"/>
              <w:ind w:firstLine="0" w:firstLineChars="0"/>
              <w:jc w:val="center"/>
              <w:rPr>
                <w:rFonts w:cs="Times New Roman"/>
                <w:color w:val="000000"/>
                <w:kern w:val="0"/>
                <w:sz w:val="21"/>
                <w:szCs w:val="21"/>
                <w:highlight w:val="none"/>
              </w:rPr>
            </w:pPr>
            <w:r>
              <w:rPr>
                <w:rFonts w:hint="eastAsia" w:cs="Times New Roman"/>
                <w:color w:val="000000"/>
                <w:kern w:val="0"/>
                <w:sz w:val="21"/>
                <w:szCs w:val="21"/>
                <w:highlight w:val="none"/>
              </w:rPr>
              <w:t>5.9057</w:t>
            </w:r>
          </w:p>
        </w:tc>
        <w:tc>
          <w:tcPr>
            <w:tcW w:w="1134" w:type="dxa"/>
            <w:shd w:val="clear" w:color="auto" w:fill="auto"/>
            <w:vAlign w:val="center"/>
          </w:tcPr>
          <w:p>
            <w:pPr>
              <w:widowControl/>
              <w:snapToGrid w:val="0"/>
              <w:spacing w:line="240" w:lineRule="auto"/>
              <w:ind w:firstLine="0" w:firstLineChars="0"/>
              <w:jc w:val="center"/>
              <w:rPr>
                <w:rFonts w:cs="Times New Roman"/>
                <w:color w:val="000000"/>
                <w:kern w:val="0"/>
                <w:sz w:val="21"/>
                <w:szCs w:val="21"/>
                <w:highlight w:val="none"/>
              </w:rPr>
            </w:pPr>
            <w:r>
              <w:rPr>
                <w:rFonts w:hint="eastAsia" w:cs="Times New Roman"/>
                <w:color w:val="000000"/>
                <w:kern w:val="0"/>
                <w:sz w:val="21"/>
                <w:szCs w:val="21"/>
                <w:highlight w:val="none"/>
              </w:rPr>
              <w:t>——</w:t>
            </w:r>
          </w:p>
        </w:tc>
        <w:tc>
          <w:tcPr>
            <w:tcW w:w="2539" w:type="dxa"/>
            <w:shd w:val="clear" w:color="auto" w:fill="auto"/>
            <w:vAlign w:val="center"/>
          </w:tcPr>
          <w:p>
            <w:pPr>
              <w:widowControl/>
              <w:snapToGrid w:val="0"/>
              <w:spacing w:line="240" w:lineRule="auto"/>
              <w:ind w:firstLine="0" w:firstLineChars="0"/>
              <w:jc w:val="center"/>
              <w:rPr>
                <w:rFonts w:cs="Times New Roman"/>
                <w:color w:val="000000"/>
                <w:kern w:val="0"/>
                <w:sz w:val="21"/>
                <w:szCs w:val="21"/>
                <w:highlight w:val="none"/>
              </w:rPr>
            </w:pPr>
            <w:r>
              <w:rPr>
                <w:rFonts w:hint="eastAsia" w:cs="Times New Roman"/>
                <w:color w:val="000000"/>
                <w:kern w:val="0"/>
                <w:sz w:val="21"/>
                <w:szCs w:val="21"/>
                <w:highlight w:val="none"/>
              </w:rPr>
              <w:t>——</w:t>
            </w:r>
          </w:p>
        </w:tc>
      </w:tr>
    </w:tbl>
    <w:p>
      <w:pPr>
        <w:ind w:firstLine="0" w:firstLineChars="0"/>
        <w:jc w:val="left"/>
      </w:pPr>
      <w:r>
        <w:rPr>
          <w:rFonts w:hint="eastAsia"/>
          <w:sz w:val="21"/>
        </w:rPr>
        <w:t>注：完成报批面积为广东省土地管理与决策支持系统压占导出面积。</w:t>
      </w:r>
    </w:p>
    <w:p>
      <w:pPr>
        <w:ind w:firstLine="560"/>
      </w:pPr>
      <w:r>
        <w:rPr>
          <w:rFonts w:hint="eastAsia"/>
        </w:rPr>
        <w:t>计划在202</w:t>
      </w:r>
      <w:r>
        <w:t>4</w:t>
      </w:r>
      <w:r>
        <w:rPr>
          <w:rFonts w:hint="eastAsia"/>
        </w:rPr>
        <w:t>年完成94.3377公顷土地征收，其中3.8016公顷计划征收土地已取得用地批复。</w:t>
      </w:r>
    </w:p>
    <w:p>
      <w:pPr>
        <w:pStyle w:val="11"/>
        <w:spacing w:line="240" w:lineRule="auto"/>
      </w:pPr>
      <w:r>
        <w:t>表2-</w:t>
      </w:r>
      <w:r>
        <w:rPr>
          <w:rFonts w:hint="eastAsia"/>
        </w:rPr>
        <w:t xml:space="preserve">5 </w:t>
      </w:r>
      <w:r>
        <w:t>调整前成片开发方案202</w:t>
      </w:r>
      <w:r>
        <w:rPr>
          <w:rFonts w:hint="eastAsia"/>
        </w:rPr>
        <w:t>4</w:t>
      </w:r>
      <w:r>
        <w:t>年拟征收项目实施情况表</w:t>
      </w:r>
    </w:p>
    <w:tbl>
      <w:tblPr>
        <w:tblStyle w:val="23"/>
        <w:tblW w:w="9356" w:type="dxa"/>
        <w:tblInd w:w="-147" w:type="dxa"/>
        <w:tblLayout w:type="autofit"/>
        <w:tblCellMar>
          <w:top w:w="0" w:type="dxa"/>
          <w:left w:w="108" w:type="dxa"/>
          <w:bottom w:w="0" w:type="dxa"/>
          <w:right w:w="108" w:type="dxa"/>
        </w:tblCellMar>
      </w:tblPr>
      <w:tblGrid>
        <w:gridCol w:w="851"/>
        <w:gridCol w:w="1994"/>
        <w:gridCol w:w="1266"/>
        <w:gridCol w:w="1418"/>
        <w:gridCol w:w="992"/>
        <w:gridCol w:w="2835"/>
      </w:tblGrid>
      <w:tr>
        <w:tblPrEx>
          <w:tblCellMar>
            <w:top w:w="0" w:type="dxa"/>
            <w:left w:w="108" w:type="dxa"/>
            <w:bottom w:w="0" w:type="dxa"/>
            <w:right w:w="108" w:type="dxa"/>
          </w:tblCellMar>
        </w:tblPrEx>
        <w:trPr>
          <w:trHeight w:val="20" w:hRule="atLeast"/>
          <w:tblHeader/>
        </w:trPr>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cs="Times New Roman"/>
                <w:b/>
                <w:bCs/>
                <w:color w:val="000000"/>
                <w:kern w:val="0"/>
                <w:sz w:val="21"/>
                <w:szCs w:val="21"/>
              </w:rPr>
            </w:pPr>
            <w:r>
              <w:rPr>
                <w:rFonts w:cs="Times New Roman"/>
                <w:b/>
                <w:bCs/>
                <w:color w:val="000000"/>
                <w:kern w:val="0"/>
                <w:sz w:val="21"/>
                <w:szCs w:val="21"/>
              </w:rPr>
              <w:t>成片开发范围</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cs="Times New Roman"/>
                <w:b/>
                <w:bCs/>
                <w:color w:val="000000"/>
                <w:kern w:val="0"/>
                <w:sz w:val="21"/>
                <w:szCs w:val="21"/>
              </w:rPr>
            </w:pPr>
            <w:r>
              <w:rPr>
                <w:rFonts w:cs="Times New Roman"/>
                <w:b/>
                <w:bCs/>
                <w:color w:val="000000"/>
                <w:kern w:val="0"/>
                <w:sz w:val="21"/>
                <w:szCs w:val="21"/>
              </w:rPr>
              <w:t>项目名称</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cs="Times New Roman"/>
                <w:b/>
                <w:bCs/>
                <w:color w:val="000000"/>
                <w:kern w:val="0"/>
                <w:sz w:val="21"/>
                <w:szCs w:val="21"/>
              </w:rPr>
            </w:pPr>
            <w:r>
              <w:rPr>
                <w:rFonts w:cs="Times New Roman"/>
                <w:b/>
                <w:bCs/>
                <w:color w:val="000000"/>
                <w:kern w:val="0"/>
                <w:sz w:val="21"/>
                <w:szCs w:val="21"/>
              </w:rPr>
              <w:t>拟征收面积（公顷）</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cs="Times New Roman"/>
                <w:b/>
                <w:bCs/>
                <w:color w:val="000000"/>
                <w:kern w:val="0"/>
                <w:sz w:val="21"/>
                <w:szCs w:val="21"/>
              </w:rPr>
            </w:pPr>
            <w:r>
              <w:rPr>
                <w:rFonts w:cs="Times New Roman"/>
                <w:b/>
                <w:bCs/>
                <w:color w:val="000000"/>
                <w:kern w:val="0"/>
                <w:sz w:val="21"/>
                <w:szCs w:val="21"/>
              </w:rPr>
              <w:t>已报批面积（公顷）</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cs="Times New Roman"/>
                <w:b/>
                <w:bCs/>
                <w:color w:val="000000"/>
                <w:kern w:val="0"/>
                <w:sz w:val="21"/>
                <w:szCs w:val="21"/>
              </w:rPr>
            </w:pPr>
            <w:r>
              <w:rPr>
                <w:rFonts w:cs="Times New Roman"/>
                <w:b/>
                <w:bCs/>
                <w:color w:val="000000"/>
                <w:kern w:val="0"/>
                <w:sz w:val="21"/>
                <w:szCs w:val="21"/>
              </w:rPr>
              <w:t>组卷报批状态</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cs="Times New Roman"/>
                <w:b/>
                <w:bCs/>
                <w:color w:val="000000"/>
                <w:kern w:val="0"/>
                <w:sz w:val="21"/>
                <w:szCs w:val="21"/>
              </w:rPr>
            </w:pPr>
            <w:r>
              <w:rPr>
                <w:rFonts w:cs="Times New Roman"/>
                <w:b/>
                <w:bCs/>
                <w:color w:val="000000"/>
                <w:kern w:val="0"/>
                <w:sz w:val="21"/>
                <w:szCs w:val="21"/>
              </w:rPr>
              <w:t>备注</w:t>
            </w:r>
          </w:p>
        </w:tc>
      </w:tr>
      <w:tr>
        <w:tblPrEx>
          <w:tblCellMar>
            <w:top w:w="0" w:type="dxa"/>
            <w:left w:w="108" w:type="dxa"/>
            <w:bottom w:w="0" w:type="dxa"/>
            <w:right w:w="108" w:type="dxa"/>
          </w:tblCellMar>
        </w:tblPrEx>
        <w:trPr>
          <w:trHeight w:val="20" w:hRule="atLeast"/>
        </w:trPr>
        <w:tc>
          <w:tcPr>
            <w:tcW w:w="851" w:type="dxa"/>
            <w:vMerge w:val="restart"/>
            <w:tcBorders>
              <w:top w:val="single" w:color="000000" w:sz="4" w:space="0"/>
              <w:left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盐东产业转移园片区</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东源县新材料产业基础设施建设项目</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0.3764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0</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组卷报批中</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东源县2022年度第三十二批次城镇建设用地</w:t>
            </w:r>
          </w:p>
        </w:tc>
      </w:tr>
      <w:tr>
        <w:tblPrEx>
          <w:tblCellMar>
            <w:top w:w="0" w:type="dxa"/>
            <w:left w:w="108" w:type="dxa"/>
            <w:bottom w:w="0" w:type="dxa"/>
            <w:right w:w="108" w:type="dxa"/>
          </w:tblCellMar>
        </w:tblPrEx>
        <w:trPr>
          <w:trHeight w:val="20" w:hRule="atLeast"/>
        </w:trPr>
        <w:tc>
          <w:tcPr>
            <w:tcW w:w="851" w:type="dxa"/>
            <w:vMerge w:val="continue"/>
            <w:tcBorders>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深圳盐田（东源）产业转移工业园（三期）启动区基础设施建设项目</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48.7401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0</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组卷报批中</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分别为东源县2022年度第三十三批次城镇建设用地，东源县2022年度第三十四批次城镇建设用地，东源县2022年度第三十五批次城镇建设用地。</w:t>
            </w:r>
          </w:p>
        </w:tc>
      </w:tr>
      <w:tr>
        <w:tblPrEx>
          <w:tblCellMar>
            <w:top w:w="0" w:type="dxa"/>
            <w:left w:w="108" w:type="dxa"/>
            <w:bottom w:w="0" w:type="dxa"/>
            <w:right w:w="108" w:type="dxa"/>
          </w:tblCellMar>
        </w:tblPrEx>
        <w:trPr>
          <w:trHeight w:val="20" w:hRule="atLeast"/>
        </w:trPr>
        <w:tc>
          <w:tcPr>
            <w:tcW w:w="851"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灯塔片区</w:t>
            </w:r>
          </w:p>
        </w:tc>
        <w:tc>
          <w:tcPr>
            <w:tcW w:w="1994"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东源县灯塔镇空气液化建设项目</w:t>
            </w:r>
          </w:p>
        </w:tc>
        <w:tc>
          <w:tcPr>
            <w:tcW w:w="1266"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1.7882</w:t>
            </w:r>
          </w:p>
        </w:tc>
        <w:tc>
          <w:tcPr>
            <w:tcW w:w="1418"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0</w:t>
            </w:r>
          </w:p>
        </w:tc>
        <w:tc>
          <w:tcPr>
            <w:tcW w:w="992"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napToGrid w:val="0"/>
              <w:spacing w:line="240" w:lineRule="auto"/>
              <w:ind w:firstLine="0" w:firstLineChars="0"/>
              <w:jc w:val="center"/>
              <w:rPr>
                <w:rFonts w:hint="eastAsia" w:eastAsia="仿宋_GB2312" w:cs="Times New Roman"/>
                <w:color w:val="000000"/>
                <w:kern w:val="0"/>
                <w:sz w:val="21"/>
                <w:szCs w:val="21"/>
                <w:lang w:val="en-US" w:eastAsia="zh-CN"/>
              </w:rPr>
            </w:pPr>
            <w:r>
              <w:rPr>
                <w:rFonts w:hint="eastAsia" w:cs="Times New Roman"/>
                <w:color w:val="000000"/>
                <w:kern w:val="0"/>
                <w:sz w:val="21"/>
                <w:szCs w:val="21"/>
                <w:lang w:val="en-US" w:eastAsia="zh-CN"/>
              </w:rPr>
              <w:t>暂停组卷</w:t>
            </w:r>
          </w:p>
        </w:tc>
        <w:tc>
          <w:tcPr>
            <w:tcW w:w="2835"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p>
        </w:tc>
      </w:tr>
      <w:tr>
        <w:tblPrEx>
          <w:tblCellMar>
            <w:top w:w="0" w:type="dxa"/>
            <w:left w:w="108" w:type="dxa"/>
            <w:bottom w:w="0" w:type="dxa"/>
            <w:right w:w="108" w:type="dxa"/>
          </w:tblCellMar>
        </w:tblPrEx>
        <w:trPr>
          <w:trHeight w:val="20" w:hRule="atLeast"/>
        </w:trPr>
        <w:tc>
          <w:tcPr>
            <w:tcW w:w="8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骆湖片区</w:t>
            </w:r>
          </w:p>
        </w:tc>
        <w:tc>
          <w:tcPr>
            <w:tcW w:w="199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东源县骆湖镇铸造件产品建设项目</w:t>
            </w:r>
          </w:p>
        </w:tc>
        <w:tc>
          <w:tcPr>
            <w:tcW w:w="12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3.1247</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0</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组卷报批中</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东源县2023年度第十七批次城镇建设用地</w:t>
            </w:r>
          </w:p>
        </w:tc>
      </w:tr>
      <w:tr>
        <w:tblPrEx>
          <w:tblCellMar>
            <w:top w:w="0" w:type="dxa"/>
            <w:left w:w="108" w:type="dxa"/>
            <w:bottom w:w="0" w:type="dxa"/>
            <w:right w:w="108" w:type="dxa"/>
          </w:tblCellMar>
        </w:tblPrEx>
        <w:trPr>
          <w:trHeight w:val="889" w:hRule="atLeast"/>
        </w:trPr>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p>
        </w:tc>
        <w:tc>
          <w:tcPr>
            <w:tcW w:w="199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东源县骆湖镇五金厂建设项目</w:t>
            </w:r>
          </w:p>
        </w:tc>
        <w:tc>
          <w:tcPr>
            <w:tcW w:w="12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4.8014</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0</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其中4.7956公顷在组卷报批中</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东源县2023年度第五批次城镇建设用地</w:t>
            </w:r>
          </w:p>
        </w:tc>
      </w:tr>
      <w:tr>
        <w:tblPrEx>
          <w:tblCellMar>
            <w:top w:w="0" w:type="dxa"/>
            <w:left w:w="108" w:type="dxa"/>
            <w:bottom w:w="0" w:type="dxa"/>
            <w:right w:w="108" w:type="dxa"/>
          </w:tblCellMar>
        </w:tblPrEx>
        <w:trPr>
          <w:trHeight w:val="20" w:hRule="atLeast"/>
        </w:trPr>
        <w:tc>
          <w:tcPr>
            <w:tcW w:w="8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农高核心区片区</w:t>
            </w:r>
          </w:p>
        </w:tc>
        <w:tc>
          <w:tcPr>
            <w:tcW w:w="199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河源市灯塔盆地农高区核心区（首期、二期）项目</w:t>
            </w:r>
          </w:p>
        </w:tc>
        <w:tc>
          <w:tcPr>
            <w:tcW w:w="12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31.3720</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0</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其中4.9327公顷组卷报批中</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东源县2022年度第二十八批次城镇建设用地</w:t>
            </w:r>
          </w:p>
        </w:tc>
      </w:tr>
      <w:tr>
        <w:tblPrEx>
          <w:tblCellMar>
            <w:top w:w="0" w:type="dxa"/>
            <w:left w:w="108" w:type="dxa"/>
            <w:bottom w:w="0" w:type="dxa"/>
            <w:right w:w="108" w:type="dxa"/>
          </w:tblCellMar>
        </w:tblPrEx>
        <w:trPr>
          <w:trHeight w:val="20" w:hRule="atLeast"/>
        </w:trPr>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p>
        </w:tc>
        <w:tc>
          <w:tcPr>
            <w:tcW w:w="199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东源县顺天镇蓝莓省级产业园建设项目</w:t>
            </w:r>
          </w:p>
        </w:tc>
        <w:tc>
          <w:tcPr>
            <w:tcW w:w="12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3.3456</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hint="default" w:eastAsia="仿宋_GB2312" w:cs="Times New Roman"/>
                <w:color w:val="000000"/>
                <w:kern w:val="0"/>
                <w:sz w:val="21"/>
                <w:szCs w:val="21"/>
                <w:lang w:val="en-US" w:eastAsia="zh-CN"/>
              </w:rPr>
            </w:pPr>
            <w:r>
              <w:rPr>
                <w:rFonts w:hint="eastAsia" w:cs="Times New Roman"/>
                <w:color w:val="000000"/>
                <w:kern w:val="0"/>
                <w:sz w:val="21"/>
                <w:szCs w:val="21"/>
                <w:lang w:val="en-US" w:eastAsia="zh-CN"/>
              </w:rPr>
              <w:t>3.3456</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已取得用地批复</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东源县2022年度第二十四批次城镇建设用地</w:t>
            </w:r>
          </w:p>
        </w:tc>
      </w:tr>
      <w:tr>
        <w:tblPrEx>
          <w:tblCellMar>
            <w:top w:w="0" w:type="dxa"/>
            <w:left w:w="108" w:type="dxa"/>
            <w:bottom w:w="0" w:type="dxa"/>
            <w:right w:w="108" w:type="dxa"/>
          </w:tblCellMar>
        </w:tblPrEx>
        <w:trPr>
          <w:trHeight w:val="20" w:hRule="atLeast"/>
        </w:trPr>
        <w:tc>
          <w:tcPr>
            <w:tcW w:w="851"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船塘片区</w:t>
            </w:r>
          </w:p>
        </w:tc>
        <w:tc>
          <w:tcPr>
            <w:tcW w:w="1994"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东源县船塘镇土地储备项目</w:t>
            </w:r>
          </w:p>
        </w:tc>
        <w:tc>
          <w:tcPr>
            <w:tcW w:w="1266"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0.3916</w:t>
            </w:r>
          </w:p>
        </w:tc>
        <w:tc>
          <w:tcPr>
            <w:tcW w:w="1418"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0.3916</w:t>
            </w:r>
          </w:p>
        </w:tc>
        <w:tc>
          <w:tcPr>
            <w:tcW w:w="992"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已取得用地批复</w:t>
            </w:r>
          </w:p>
        </w:tc>
        <w:tc>
          <w:tcPr>
            <w:tcW w:w="2835"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东源县2022年度第三批次城镇建设用地</w:t>
            </w:r>
          </w:p>
        </w:tc>
      </w:tr>
      <w:tr>
        <w:tblPrEx>
          <w:tblCellMar>
            <w:top w:w="0" w:type="dxa"/>
            <w:left w:w="108" w:type="dxa"/>
            <w:bottom w:w="0" w:type="dxa"/>
            <w:right w:w="108" w:type="dxa"/>
          </w:tblCellMar>
        </w:tblPrEx>
        <w:trPr>
          <w:trHeight w:val="787" w:hRule="atLeast"/>
        </w:trPr>
        <w:tc>
          <w:tcPr>
            <w:tcW w:w="851" w:type="dxa"/>
            <w:tcBorders>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锡场片区</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东源县锡场镇西林加油站建设项目</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0.0644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hint="default" w:eastAsia="仿宋_GB2312" w:cs="Times New Roman"/>
                <w:color w:val="000000"/>
                <w:kern w:val="0"/>
                <w:sz w:val="21"/>
                <w:szCs w:val="21"/>
                <w:lang w:val="en-US" w:eastAsia="zh-CN"/>
              </w:rPr>
            </w:pPr>
            <w:r>
              <w:rPr>
                <w:rFonts w:hint="eastAsia" w:cs="Times New Roman"/>
                <w:color w:val="000000"/>
                <w:kern w:val="0"/>
                <w:sz w:val="21"/>
                <w:szCs w:val="21"/>
              </w:rPr>
              <w:t>0</w:t>
            </w:r>
            <w:r>
              <w:rPr>
                <w:rFonts w:hint="eastAsia" w:cs="Times New Roman"/>
                <w:color w:val="000000"/>
                <w:kern w:val="0"/>
                <w:sz w:val="21"/>
                <w:szCs w:val="21"/>
                <w:lang w:eastAsia="zh-CN"/>
              </w:rPr>
              <w:t>.</w:t>
            </w:r>
            <w:r>
              <w:rPr>
                <w:rFonts w:hint="eastAsia" w:cs="Times New Roman"/>
                <w:color w:val="000000"/>
                <w:kern w:val="0"/>
                <w:sz w:val="21"/>
                <w:szCs w:val="21"/>
                <w:lang w:val="en-US" w:eastAsia="zh-CN"/>
              </w:rPr>
              <w:t>0644</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已取得用地批复</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东源县2022年度第二十三批次城镇建设用地</w:t>
            </w:r>
          </w:p>
        </w:tc>
      </w:tr>
      <w:tr>
        <w:tblPrEx>
          <w:tblCellMar>
            <w:top w:w="0" w:type="dxa"/>
            <w:left w:w="108" w:type="dxa"/>
            <w:bottom w:w="0" w:type="dxa"/>
            <w:right w:w="108" w:type="dxa"/>
          </w:tblCellMar>
        </w:tblPrEx>
        <w:trPr>
          <w:trHeight w:val="20" w:hRule="atLeast"/>
        </w:trPr>
        <w:tc>
          <w:tcPr>
            <w:tcW w:w="851" w:type="dxa"/>
            <w:tcBorders>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黄村片区</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东源县黄村镇黄村温泉养颜康养建设项目</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0.3333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0</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hint="eastAsia" w:eastAsia="仿宋_GB2312" w:cs="Times New Roman"/>
                <w:color w:val="000000"/>
                <w:kern w:val="0"/>
                <w:sz w:val="21"/>
                <w:szCs w:val="21"/>
                <w:lang w:eastAsia="zh-CN"/>
              </w:rPr>
            </w:pPr>
            <w:r>
              <w:rPr>
                <w:rFonts w:hint="eastAsia" w:cs="Times New Roman"/>
                <w:color w:val="000000"/>
                <w:kern w:val="0"/>
                <w:sz w:val="21"/>
                <w:szCs w:val="21"/>
                <w:lang w:val="en-US" w:eastAsia="zh-CN"/>
              </w:rPr>
              <w:t>暂停组卷</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东源县2021年度第三十二批次城镇建设用地</w:t>
            </w:r>
          </w:p>
        </w:tc>
      </w:tr>
      <w:tr>
        <w:tblPrEx>
          <w:tblCellMar>
            <w:top w:w="0" w:type="dxa"/>
            <w:left w:w="108" w:type="dxa"/>
            <w:bottom w:w="0" w:type="dxa"/>
            <w:right w:w="108" w:type="dxa"/>
          </w:tblCellMar>
        </w:tblPrEx>
        <w:trPr>
          <w:trHeight w:val="20" w:hRule="atLeast"/>
        </w:trPr>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总计</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94.3377</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3.8016</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w:t>
            </w:r>
          </w:p>
        </w:tc>
      </w:tr>
    </w:tbl>
    <w:p>
      <w:pPr>
        <w:ind w:firstLine="0" w:firstLineChars="0"/>
      </w:pPr>
      <w:r>
        <w:rPr>
          <w:rFonts w:hint="eastAsia"/>
          <w:sz w:val="21"/>
        </w:rPr>
        <w:t>注：完成报批面积为广东省土地管理与决策支持系统压占导出面积。</w:t>
      </w:r>
    </w:p>
    <w:p>
      <w:pPr>
        <w:pStyle w:val="4"/>
      </w:pPr>
      <w:bookmarkStart w:id="9" w:name="_Toc981"/>
      <w:r>
        <w:t>三、成片开发方案调整情况</w:t>
      </w:r>
      <w:bookmarkEnd w:id="9"/>
    </w:p>
    <w:p>
      <w:pPr>
        <w:pStyle w:val="5"/>
      </w:pPr>
      <w:r>
        <w:rPr>
          <w:rFonts w:hint="eastAsia"/>
        </w:rPr>
        <w:t>（一）成片开发范围调整情况</w:t>
      </w:r>
    </w:p>
    <w:p>
      <w:pPr>
        <w:autoSpaceDN w:val="0"/>
        <w:ind w:firstLine="560"/>
        <w:rPr>
          <w:rFonts w:cs="仿宋"/>
          <w:kern w:val="0"/>
          <w:szCs w:val="22"/>
        </w:rPr>
      </w:pPr>
      <w:r>
        <w:rPr>
          <w:rFonts w:hint="eastAsia" w:cs="仿宋"/>
          <w:kern w:val="0"/>
          <w:szCs w:val="22"/>
        </w:rPr>
        <w:t>因东源县国民经济和社会发展年度计划发生改变、拟实施项目选址优化调整情况、重点产业项目用地选址情况和土地征收用地报批计划发生改变，对原已批成片开发方案部分地块进行调整。</w:t>
      </w:r>
    </w:p>
    <w:p>
      <w:pPr>
        <w:autoSpaceDN w:val="0"/>
        <w:ind w:firstLine="560"/>
        <w:rPr>
          <w:rFonts w:hint="eastAsia" w:cs="仿宋"/>
          <w:kern w:val="0"/>
          <w:szCs w:val="22"/>
        </w:rPr>
      </w:pPr>
      <w:r>
        <w:rPr>
          <w:rFonts w:hint="eastAsia" w:cs="仿宋"/>
          <w:kern w:val="0"/>
          <w:szCs w:val="22"/>
        </w:rPr>
        <w:t>调整后，东源县2022年度土地征收成片开发范围总面积较调整前减少了43.574</w:t>
      </w:r>
      <w:r>
        <w:rPr>
          <w:rFonts w:hint="eastAsia" w:cs="仿宋"/>
          <w:kern w:val="0"/>
          <w:szCs w:val="22"/>
          <w:lang w:val="en-US" w:eastAsia="zh-CN"/>
        </w:rPr>
        <w:t>5</w:t>
      </w:r>
      <w:r>
        <w:rPr>
          <w:rFonts w:hint="eastAsia" w:cs="仿宋"/>
          <w:kern w:val="0"/>
          <w:szCs w:val="22"/>
        </w:rPr>
        <w:t>公顷。其中，因项目选址发生变化，在盐东产业转移园片区成片开发范围周边</w:t>
      </w:r>
      <w:r>
        <w:rPr>
          <w:rFonts w:hint="eastAsia" w:cs="仿宋"/>
          <w:kern w:val="0"/>
          <w:szCs w:val="22"/>
          <w:lang w:val="en-US" w:eastAsia="zh-CN"/>
        </w:rPr>
        <w:t>减少</w:t>
      </w:r>
      <w:r>
        <w:rPr>
          <w:rFonts w:hint="eastAsia" w:cs="仿宋"/>
          <w:kern w:val="0"/>
          <w:szCs w:val="22"/>
        </w:rPr>
        <w:t>0.2629公顷地块</w:t>
      </w:r>
      <w:bookmarkStart w:id="10" w:name="_Hlk147674519"/>
      <w:r>
        <w:rPr>
          <w:rFonts w:hint="eastAsia" w:cs="仿宋"/>
          <w:kern w:val="0"/>
          <w:szCs w:val="22"/>
        </w:rPr>
        <w:t>，在灯塔片区成片开发范围减少4.2139公顷，在农高核心区片区成片开发范围减少38.764</w:t>
      </w:r>
      <w:r>
        <w:rPr>
          <w:rFonts w:hint="eastAsia" w:cs="仿宋"/>
          <w:kern w:val="0"/>
          <w:szCs w:val="22"/>
          <w:lang w:val="en-US" w:eastAsia="zh-CN"/>
        </w:rPr>
        <w:t>3</w:t>
      </w:r>
      <w:r>
        <w:rPr>
          <w:rFonts w:hint="eastAsia" w:cs="仿宋"/>
          <w:kern w:val="0"/>
          <w:szCs w:val="22"/>
        </w:rPr>
        <w:t>公顷；因国民经济和社会发展年度计划发生调整，撤销了黄村片区成片开发范围。</w:t>
      </w:r>
      <w:bookmarkEnd w:id="10"/>
    </w:p>
    <w:p>
      <w:pPr>
        <w:pStyle w:val="2"/>
        <w:rPr>
          <w:rFonts w:hint="eastAsia" w:cs="仿宋"/>
          <w:kern w:val="0"/>
          <w:szCs w:val="22"/>
        </w:rPr>
      </w:pPr>
    </w:p>
    <w:p>
      <w:pPr>
        <w:pStyle w:val="2"/>
        <w:rPr>
          <w:rFonts w:hint="eastAsia" w:cs="仿宋"/>
          <w:kern w:val="0"/>
          <w:szCs w:val="22"/>
        </w:rPr>
      </w:pPr>
    </w:p>
    <w:p>
      <w:pPr>
        <w:pStyle w:val="2"/>
        <w:rPr>
          <w:rFonts w:hint="eastAsia" w:cs="仿宋"/>
          <w:kern w:val="0"/>
          <w:szCs w:val="22"/>
        </w:rPr>
      </w:pPr>
    </w:p>
    <w:p>
      <w:pPr>
        <w:pStyle w:val="2"/>
        <w:rPr>
          <w:rFonts w:hint="eastAsia" w:cs="仿宋"/>
          <w:kern w:val="0"/>
          <w:szCs w:val="22"/>
        </w:rPr>
      </w:pPr>
    </w:p>
    <w:p>
      <w:pPr>
        <w:pStyle w:val="2"/>
        <w:rPr>
          <w:rFonts w:hint="eastAsia" w:cs="仿宋"/>
          <w:kern w:val="0"/>
          <w:szCs w:val="22"/>
        </w:rPr>
      </w:pPr>
    </w:p>
    <w:p>
      <w:pPr>
        <w:pStyle w:val="2"/>
        <w:rPr>
          <w:kern w:val="0"/>
          <w:szCs w:val="22"/>
        </w:rPr>
      </w:pPr>
    </w:p>
    <w:p>
      <w:pPr>
        <w:pStyle w:val="2"/>
        <w:rPr>
          <w:kern w:val="0"/>
          <w:szCs w:val="22"/>
        </w:rPr>
      </w:pPr>
    </w:p>
    <w:p>
      <w:pPr>
        <w:pStyle w:val="11"/>
        <w:spacing w:line="240" w:lineRule="auto"/>
      </w:pPr>
      <w:r>
        <w:rPr>
          <w:rFonts w:hint="eastAsia"/>
        </w:rPr>
        <w:t>表2-6 东源县</w:t>
      </w:r>
      <w:r>
        <w:t>2022年度土地征收成片开发范围调整情况表</w:t>
      </w:r>
    </w:p>
    <w:p>
      <w:pPr>
        <w:pStyle w:val="11"/>
        <w:spacing w:line="240" w:lineRule="auto"/>
        <w:jc w:val="right"/>
      </w:pPr>
      <w:r>
        <w:rPr>
          <w:rFonts w:hint="eastAsia"/>
        </w:rPr>
        <w:t>单位：公顷</w:t>
      </w:r>
    </w:p>
    <w:tbl>
      <w:tblPr>
        <w:tblStyle w:val="23"/>
        <w:tblW w:w="502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
        <w:gridCol w:w="1095"/>
        <w:gridCol w:w="1606"/>
        <w:gridCol w:w="1360"/>
        <w:gridCol w:w="1659"/>
        <w:gridCol w:w="1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tblHeader/>
        </w:trPr>
        <w:tc>
          <w:tcPr>
            <w:tcW w:w="819" w:type="pct"/>
            <w:shd w:val="clear" w:color="auto" w:fill="auto"/>
            <w:vAlign w:val="center"/>
          </w:tcPr>
          <w:p>
            <w:pPr>
              <w:widowControl/>
              <w:snapToGrid w:val="0"/>
              <w:spacing w:line="240" w:lineRule="auto"/>
              <w:ind w:firstLine="0" w:firstLineChars="0"/>
              <w:jc w:val="center"/>
              <w:textAlignment w:val="center"/>
              <w:rPr>
                <w:rFonts w:cs="华文细黑"/>
                <w:b/>
                <w:bCs/>
                <w:color w:val="000000"/>
                <w:sz w:val="21"/>
                <w:szCs w:val="21"/>
              </w:rPr>
            </w:pPr>
            <w:r>
              <w:rPr>
                <w:rFonts w:hint="eastAsia" w:cs="华文细黑"/>
                <w:b/>
                <w:bCs/>
                <w:color w:val="000000"/>
                <w:kern w:val="0"/>
                <w:sz w:val="21"/>
                <w:szCs w:val="21"/>
                <w:lang w:bidi="ar"/>
              </w:rPr>
              <w:t>成片开发范围名称</w:t>
            </w:r>
          </w:p>
        </w:tc>
        <w:tc>
          <w:tcPr>
            <w:tcW w:w="614" w:type="pct"/>
            <w:shd w:val="clear" w:color="auto" w:fill="auto"/>
            <w:vAlign w:val="center"/>
          </w:tcPr>
          <w:p>
            <w:pPr>
              <w:widowControl/>
              <w:snapToGrid w:val="0"/>
              <w:spacing w:line="240" w:lineRule="auto"/>
              <w:ind w:firstLine="0" w:firstLineChars="0"/>
              <w:jc w:val="center"/>
              <w:textAlignment w:val="center"/>
              <w:rPr>
                <w:rFonts w:cs="华文细黑"/>
                <w:b/>
                <w:bCs/>
                <w:color w:val="000000"/>
                <w:kern w:val="0"/>
                <w:sz w:val="21"/>
                <w:szCs w:val="21"/>
                <w:lang w:bidi="ar"/>
              </w:rPr>
            </w:pPr>
            <w:r>
              <w:rPr>
                <w:rFonts w:hint="eastAsia" w:cs="华文细黑"/>
                <w:b/>
                <w:bCs/>
                <w:color w:val="000000"/>
                <w:kern w:val="0"/>
                <w:sz w:val="21"/>
                <w:szCs w:val="21"/>
                <w:lang w:bidi="ar"/>
              </w:rPr>
              <w:t>地块名称</w:t>
            </w:r>
          </w:p>
        </w:tc>
        <w:tc>
          <w:tcPr>
            <w:tcW w:w="902" w:type="pct"/>
            <w:shd w:val="clear" w:color="auto" w:fill="auto"/>
            <w:vAlign w:val="center"/>
          </w:tcPr>
          <w:p>
            <w:pPr>
              <w:widowControl/>
              <w:snapToGrid w:val="0"/>
              <w:spacing w:line="240" w:lineRule="auto"/>
              <w:ind w:firstLine="0" w:firstLineChars="0"/>
              <w:jc w:val="center"/>
              <w:textAlignment w:val="center"/>
              <w:rPr>
                <w:rFonts w:cs="华文细黑"/>
                <w:b/>
                <w:bCs/>
                <w:color w:val="000000"/>
                <w:sz w:val="21"/>
                <w:szCs w:val="21"/>
              </w:rPr>
            </w:pPr>
            <w:r>
              <w:rPr>
                <w:rFonts w:hint="eastAsia" w:cs="华文细黑"/>
                <w:b/>
                <w:bCs/>
                <w:color w:val="000000"/>
                <w:kern w:val="0"/>
                <w:sz w:val="21"/>
                <w:szCs w:val="21"/>
                <w:lang w:bidi="ar"/>
              </w:rPr>
              <w:t>调整前地块面积</w:t>
            </w:r>
          </w:p>
        </w:tc>
        <w:tc>
          <w:tcPr>
            <w:tcW w:w="764" w:type="pct"/>
            <w:shd w:val="clear" w:color="auto" w:fill="auto"/>
            <w:vAlign w:val="center"/>
          </w:tcPr>
          <w:p>
            <w:pPr>
              <w:widowControl/>
              <w:snapToGrid w:val="0"/>
              <w:spacing w:line="240" w:lineRule="auto"/>
              <w:ind w:firstLine="0" w:firstLineChars="0"/>
              <w:jc w:val="center"/>
              <w:textAlignment w:val="center"/>
              <w:rPr>
                <w:rFonts w:cs="华文细黑"/>
                <w:b/>
                <w:bCs/>
                <w:color w:val="000000"/>
                <w:sz w:val="21"/>
                <w:szCs w:val="21"/>
              </w:rPr>
            </w:pPr>
            <w:r>
              <w:rPr>
                <w:rFonts w:cs="华文细黑"/>
                <w:b/>
                <w:bCs/>
                <w:color w:val="000000"/>
                <w:sz w:val="21"/>
                <w:szCs w:val="21"/>
              </w:rPr>
              <w:t>调整</w:t>
            </w:r>
            <w:r>
              <w:rPr>
                <w:rFonts w:hint="eastAsia" w:cs="华文细黑"/>
                <w:b/>
                <w:bCs/>
                <w:color w:val="000000"/>
                <w:sz w:val="21"/>
                <w:szCs w:val="21"/>
              </w:rPr>
              <w:t>后</w:t>
            </w:r>
            <w:r>
              <w:rPr>
                <w:rFonts w:cs="华文细黑"/>
                <w:b/>
                <w:bCs/>
                <w:color w:val="000000"/>
                <w:sz w:val="21"/>
                <w:szCs w:val="21"/>
              </w:rPr>
              <w:t>地块面积</w:t>
            </w:r>
          </w:p>
        </w:tc>
        <w:tc>
          <w:tcPr>
            <w:tcW w:w="932" w:type="pct"/>
            <w:shd w:val="clear" w:color="auto" w:fill="auto"/>
            <w:vAlign w:val="center"/>
          </w:tcPr>
          <w:p>
            <w:pPr>
              <w:widowControl/>
              <w:snapToGrid w:val="0"/>
              <w:spacing w:line="240" w:lineRule="auto"/>
              <w:ind w:firstLine="0" w:firstLineChars="0"/>
              <w:jc w:val="center"/>
              <w:rPr>
                <w:rFonts w:cs="华文细黑"/>
                <w:b/>
                <w:bCs/>
                <w:color w:val="000000"/>
                <w:sz w:val="21"/>
                <w:szCs w:val="21"/>
              </w:rPr>
            </w:pPr>
            <w:r>
              <w:rPr>
                <w:rFonts w:hint="eastAsia" w:cs="华文细黑"/>
                <w:b/>
                <w:bCs/>
                <w:color w:val="000000"/>
                <w:kern w:val="0"/>
                <w:sz w:val="21"/>
                <w:szCs w:val="21"/>
                <w:lang w:bidi="ar"/>
              </w:rPr>
              <w:t>调整后减调整前</w:t>
            </w:r>
          </w:p>
        </w:tc>
        <w:tc>
          <w:tcPr>
            <w:tcW w:w="966" w:type="pct"/>
            <w:shd w:val="clear" w:color="auto" w:fill="auto"/>
            <w:vAlign w:val="center"/>
          </w:tcPr>
          <w:p>
            <w:pPr>
              <w:widowControl/>
              <w:snapToGrid w:val="0"/>
              <w:spacing w:line="240" w:lineRule="auto"/>
              <w:ind w:firstLine="0" w:firstLineChars="0"/>
              <w:jc w:val="center"/>
              <w:rPr>
                <w:rFonts w:cs="华文细黑"/>
                <w:b/>
                <w:bCs/>
                <w:color w:val="000000"/>
                <w:sz w:val="21"/>
                <w:szCs w:val="21"/>
              </w:rPr>
            </w:pPr>
            <w:r>
              <w:rPr>
                <w:rFonts w:hint="eastAsia" w:cs="华文细黑"/>
                <w:b/>
                <w:bCs/>
                <w:color w:val="000000"/>
                <w:sz w:val="21"/>
                <w:szCs w:val="21"/>
              </w:rPr>
              <w:t>调整原因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trPr>
        <w:tc>
          <w:tcPr>
            <w:tcW w:w="819" w:type="pct"/>
            <w:vMerge w:val="restart"/>
            <w:shd w:val="clear" w:color="auto" w:fill="auto"/>
            <w:vAlign w:val="center"/>
          </w:tcPr>
          <w:p>
            <w:pPr>
              <w:widowControl/>
              <w:snapToGrid w:val="0"/>
              <w:spacing w:line="240" w:lineRule="auto"/>
              <w:ind w:firstLine="0" w:firstLineChars="0"/>
              <w:jc w:val="center"/>
              <w:textAlignment w:val="center"/>
              <w:rPr>
                <w:rFonts w:cs="仿宋_GB2312"/>
                <w:color w:val="000000"/>
                <w:sz w:val="21"/>
                <w:szCs w:val="21"/>
              </w:rPr>
            </w:pPr>
            <w:r>
              <w:rPr>
                <w:rFonts w:hint="eastAsia" w:cs="仿宋_GB2312"/>
                <w:color w:val="000000"/>
                <w:kern w:val="0"/>
                <w:sz w:val="21"/>
                <w:szCs w:val="21"/>
                <w:lang w:bidi="ar"/>
              </w:rPr>
              <w:t>盐东产业转移园片区</w:t>
            </w:r>
          </w:p>
        </w:tc>
        <w:tc>
          <w:tcPr>
            <w:tcW w:w="614" w:type="pct"/>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hint="eastAsia" w:cs="Times New Roman"/>
                <w:color w:val="000000"/>
                <w:kern w:val="0"/>
                <w:sz w:val="21"/>
                <w:szCs w:val="21"/>
                <w:lang w:bidi="ar"/>
              </w:rPr>
              <w:t>地块一</w:t>
            </w:r>
          </w:p>
        </w:tc>
        <w:tc>
          <w:tcPr>
            <w:tcW w:w="902" w:type="pct"/>
            <w:shd w:val="clear" w:color="auto" w:fill="auto"/>
            <w:vAlign w:val="center"/>
          </w:tcPr>
          <w:p>
            <w:pPr>
              <w:widowControl/>
              <w:snapToGrid w:val="0"/>
              <w:spacing w:line="240" w:lineRule="auto"/>
              <w:ind w:firstLine="0" w:firstLineChars="0"/>
              <w:jc w:val="center"/>
              <w:textAlignment w:val="center"/>
              <w:rPr>
                <w:rFonts w:cs="Times New Roman"/>
                <w:color w:val="000000"/>
                <w:sz w:val="21"/>
                <w:szCs w:val="21"/>
              </w:rPr>
            </w:pPr>
            <w:r>
              <w:rPr>
                <w:rFonts w:eastAsia="宋体" w:cs="Times New Roman"/>
                <w:color w:val="000000"/>
                <w:kern w:val="0"/>
                <w:sz w:val="21"/>
                <w:szCs w:val="21"/>
                <w:lang w:bidi="ar"/>
              </w:rPr>
              <w:t>0.3297</w:t>
            </w:r>
          </w:p>
        </w:tc>
        <w:tc>
          <w:tcPr>
            <w:tcW w:w="1361" w:type="dxa"/>
            <w:shd w:val="clear" w:color="auto" w:fill="auto"/>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olor w:val="000000"/>
                <w:sz w:val="21"/>
                <w:szCs w:val="21"/>
              </w:rPr>
              <w:t>0.3297</w:t>
            </w:r>
          </w:p>
        </w:tc>
        <w:tc>
          <w:tcPr>
            <w:tcW w:w="932" w:type="pct"/>
            <w:shd w:val="clear" w:color="auto" w:fill="auto"/>
            <w:vAlign w:val="center"/>
          </w:tcPr>
          <w:p>
            <w:pPr>
              <w:widowControl/>
              <w:snapToGrid w:val="0"/>
              <w:spacing w:line="240" w:lineRule="auto"/>
              <w:ind w:firstLine="0" w:firstLineChars="0"/>
              <w:jc w:val="center"/>
              <w:textAlignment w:val="center"/>
              <w:rPr>
                <w:rFonts w:cs="华文细黑"/>
                <w:color w:val="000000"/>
                <w:sz w:val="21"/>
                <w:szCs w:val="21"/>
              </w:rPr>
            </w:pPr>
            <w:r>
              <w:rPr>
                <w:rFonts w:hint="eastAsia" w:cs="华文细黑"/>
                <w:color w:val="000000"/>
                <w:kern w:val="0"/>
                <w:sz w:val="21"/>
                <w:szCs w:val="21"/>
                <w:lang w:bidi="ar"/>
              </w:rPr>
              <w:t>0</w:t>
            </w:r>
          </w:p>
        </w:tc>
        <w:tc>
          <w:tcPr>
            <w:tcW w:w="966" w:type="pct"/>
            <w:shd w:val="clear" w:color="auto" w:fill="auto"/>
            <w:vAlign w:val="center"/>
          </w:tcPr>
          <w:p>
            <w:pPr>
              <w:widowControl/>
              <w:snapToGrid w:val="0"/>
              <w:spacing w:line="240" w:lineRule="auto"/>
              <w:ind w:firstLine="0" w:firstLineChars="0"/>
              <w:jc w:val="center"/>
              <w:textAlignment w:val="center"/>
              <w:rPr>
                <w:rFonts w:cs="Arial"/>
                <w:color w:val="000000"/>
                <w:sz w:val="21"/>
                <w:szCs w:val="21"/>
              </w:rPr>
            </w:pPr>
            <w:r>
              <w:rPr>
                <w:rFonts w:hint="eastAsia" w:cs="华文细黑"/>
                <w:color w:val="000000"/>
                <w:kern w:val="0"/>
                <w:sz w:val="21"/>
                <w:szCs w:val="21"/>
                <w:lang w:bidi="ar"/>
              </w:rPr>
              <w:t>未调整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trPr>
        <w:tc>
          <w:tcPr>
            <w:tcW w:w="819" w:type="pct"/>
            <w:vMerge w:val="continue"/>
            <w:shd w:val="clear" w:color="auto" w:fill="auto"/>
            <w:vAlign w:val="center"/>
          </w:tcPr>
          <w:p>
            <w:pPr>
              <w:widowControl/>
              <w:snapToGrid w:val="0"/>
              <w:spacing w:line="240" w:lineRule="auto"/>
              <w:ind w:firstLine="0" w:firstLineChars="0"/>
              <w:jc w:val="center"/>
              <w:textAlignment w:val="center"/>
              <w:rPr>
                <w:rFonts w:cs="仿宋_GB2312"/>
                <w:color w:val="000000"/>
                <w:kern w:val="0"/>
                <w:sz w:val="21"/>
                <w:szCs w:val="21"/>
                <w:lang w:bidi="ar"/>
              </w:rPr>
            </w:pPr>
          </w:p>
        </w:tc>
        <w:tc>
          <w:tcPr>
            <w:tcW w:w="614" w:type="pct"/>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hint="eastAsia" w:cs="Times New Roman"/>
                <w:color w:val="000000"/>
                <w:kern w:val="0"/>
                <w:sz w:val="21"/>
                <w:szCs w:val="21"/>
                <w:lang w:bidi="ar"/>
              </w:rPr>
              <w:t>地块二</w:t>
            </w:r>
          </w:p>
        </w:tc>
        <w:tc>
          <w:tcPr>
            <w:tcW w:w="902" w:type="pct"/>
            <w:shd w:val="clear" w:color="auto" w:fill="auto"/>
            <w:vAlign w:val="center"/>
          </w:tcPr>
          <w:p>
            <w:pPr>
              <w:widowControl/>
              <w:snapToGrid w:val="0"/>
              <w:spacing w:line="240" w:lineRule="auto"/>
              <w:ind w:firstLine="0" w:firstLineChars="0"/>
              <w:jc w:val="center"/>
              <w:textAlignment w:val="center"/>
              <w:rPr>
                <w:rFonts w:eastAsia="宋体" w:cs="Times New Roman"/>
                <w:color w:val="000000"/>
                <w:kern w:val="0"/>
                <w:sz w:val="21"/>
                <w:szCs w:val="21"/>
                <w:lang w:bidi="ar"/>
              </w:rPr>
            </w:pPr>
            <w:r>
              <w:rPr>
                <w:rFonts w:eastAsia="宋体" w:cs="Times New Roman"/>
                <w:color w:val="000000"/>
                <w:kern w:val="0"/>
                <w:sz w:val="21"/>
                <w:szCs w:val="21"/>
                <w:lang w:bidi="ar"/>
              </w:rPr>
              <w:t>0.016</w:t>
            </w:r>
            <w:r>
              <w:rPr>
                <w:rFonts w:hint="eastAsia" w:eastAsia="宋体" w:cs="Times New Roman"/>
                <w:color w:val="000000"/>
                <w:kern w:val="0"/>
                <w:sz w:val="21"/>
                <w:szCs w:val="21"/>
                <w:lang w:bidi="ar"/>
              </w:rPr>
              <w:t>0</w:t>
            </w:r>
          </w:p>
        </w:tc>
        <w:tc>
          <w:tcPr>
            <w:tcW w:w="1361" w:type="dxa"/>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hint="eastAsia"/>
                <w:color w:val="000000"/>
                <w:kern w:val="0"/>
                <w:sz w:val="21"/>
                <w:szCs w:val="21"/>
                <w:lang w:bidi="ar"/>
              </w:rPr>
              <w:t>0.0160</w:t>
            </w:r>
          </w:p>
        </w:tc>
        <w:tc>
          <w:tcPr>
            <w:tcW w:w="932" w:type="pct"/>
            <w:shd w:val="clear" w:color="auto" w:fill="auto"/>
            <w:vAlign w:val="center"/>
          </w:tcPr>
          <w:p>
            <w:pPr>
              <w:widowControl/>
              <w:snapToGrid w:val="0"/>
              <w:spacing w:line="240" w:lineRule="auto"/>
              <w:ind w:firstLine="0" w:firstLineChars="0"/>
              <w:jc w:val="center"/>
              <w:textAlignment w:val="center"/>
              <w:rPr>
                <w:rFonts w:cs="华文细黑"/>
                <w:color w:val="000000"/>
                <w:kern w:val="0"/>
                <w:sz w:val="21"/>
                <w:szCs w:val="21"/>
                <w:lang w:bidi="ar"/>
              </w:rPr>
            </w:pPr>
            <w:r>
              <w:rPr>
                <w:rFonts w:hint="eastAsia" w:cs="华文细黑"/>
                <w:color w:val="000000"/>
                <w:kern w:val="0"/>
                <w:sz w:val="21"/>
                <w:szCs w:val="21"/>
                <w:lang w:bidi="ar"/>
              </w:rPr>
              <w:t>0</w:t>
            </w:r>
          </w:p>
        </w:tc>
        <w:tc>
          <w:tcPr>
            <w:tcW w:w="966" w:type="pct"/>
            <w:shd w:val="clear" w:color="auto" w:fill="auto"/>
            <w:vAlign w:val="center"/>
          </w:tcPr>
          <w:p>
            <w:pPr>
              <w:widowControl/>
              <w:snapToGrid w:val="0"/>
              <w:spacing w:line="240" w:lineRule="auto"/>
              <w:ind w:firstLine="0" w:firstLineChars="0"/>
              <w:jc w:val="center"/>
              <w:textAlignment w:val="center"/>
              <w:rPr>
                <w:rFonts w:cs="Arial"/>
                <w:color w:val="000000"/>
                <w:sz w:val="21"/>
                <w:szCs w:val="21"/>
              </w:rPr>
            </w:pPr>
            <w:r>
              <w:rPr>
                <w:rFonts w:hint="eastAsia" w:cs="华文细黑"/>
                <w:color w:val="000000"/>
                <w:kern w:val="0"/>
                <w:sz w:val="21"/>
                <w:szCs w:val="21"/>
                <w:lang w:bidi="ar"/>
              </w:rPr>
              <w:t>未调整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trPr>
        <w:tc>
          <w:tcPr>
            <w:tcW w:w="819" w:type="pct"/>
            <w:vMerge w:val="continue"/>
            <w:shd w:val="clear" w:color="auto" w:fill="auto"/>
            <w:vAlign w:val="center"/>
          </w:tcPr>
          <w:p>
            <w:pPr>
              <w:widowControl/>
              <w:snapToGrid w:val="0"/>
              <w:spacing w:line="240" w:lineRule="auto"/>
              <w:ind w:firstLine="0" w:firstLineChars="0"/>
              <w:jc w:val="center"/>
              <w:textAlignment w:val="center"/>
              <w:rPr>
                <w:rFonts w:cs="仿宋_GB2312"/>
                <w:color w:val="000000"/>
                <w:kern w:val="0"/>
                <w:sz w:val="21"/>
                <w:szCs w:val="21"/>
                <w:lang w:bidi="ar"/>
              </w:rPr>
            </w:pPr>
          </w:p>
        </w:tc>
        <w:tc>
          <w:tcPr>
            <w:tcW w:w="614" w:type="pct"/>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hint="eastAsia" w:cs="Times New Roman"/>
                <w:color w:val="000000"/>
                <w:kern w:val="0"/>
                <w:sz w:val="21"/>
                <w:szCs w:val="21"/>
                <w:lang w:bidi="ar"/>
              </w:rPr>
              <w:t>地块三</w:t>
            </w:r>
          </w:p>
        </w:tc>
        <w:tc>
          <w:tcPr>
            <w:tcW w:w="902" w:type="pct"/>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eastAsia="宋体" w:cs="Times New Roman"/>
                <w:color w:val="000000"/>
                <w:kern w:val="0"/>
                <w:sz w:val="21"/>
                <w:szCs w:val="21"/>
                <w:lang w:bidi="ar"/>
              </w:rPr>
              <w:t>0.0021</w:t>
            </w:r>
          </w:p>
        </w:tc>
        <w:tc>
          <w:tcPr>
            <w:tcW w:w="1361" w:type="dxa"/>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hint="eastAsia" w:cs="Times New Roman"/>
                <w:color w:val="000000"/>
                <w:kern w:val="0"/>
                <w:sz w:val="21"/>
                <w:szCs w:val="21"/>
                <w:lang w:bidi="ar"/>
              </w:rPr>
              <w:t>0.0021</w:t>
            </w:r>
          </w:p>
        </w:tc>
        <w:tc>
          <w:tcPr>
            <w:tcW w:w="932" w:type="pct"/>
            <w:shd w:val="clear" w:color="auto" w:fill="auto"/>
            <w:vAlign w:val="center"/>
          </w:tcPr>
          <w:p>
            <w:pPr>
              <w:widowControl/>
              <w:snapToGrid w:val="0"/>
              <w:spacing w:line="240" w:lineRule="auto"/>
              <w:ind w:firstLine="0" w:firstLineChars="0"/>
              <w:jc w:val="center"/>
              <w:textAlignment w:val="center"/>
              <w:rPr>
                <w:rFonts w:cs="华文细黑"/>
                <w:color w:val="000000"/>
                <w:kern w:val="0"/>
                <w:sz w:val="21"/>
                <w:szCs w:val="21"/>
                <w:lang w:bidi="ar"/>
              </w:rPr>
            </w:pPr>
            <w:r>
              <w:rPr>
                <w:rFonts w:hint="eastAsia" w:cs="华文细黑"/>
                <w:color w:val="000000"/>
                <w:kern w:val="0"/>
                <w:sz w:val="21"/>
                <w:szCs w:val="21"/>
                <w:lang w:bidi="ar"/>
              </w:rPr>
              <w:t>0</w:t>
            </w:r>
          </w:p>
        </w:tc>
        <w:tc>
          <w:tcPr>
            <w:tcW w:w="966" w:type="pct"/>
            <w:shd w:val="clear" w:color="auto" w:fill="auto"/>
            <w:vAlign w:val="center"/>
          </w:tcPr>
          <w:p>
            <w:pPr>
              <w:widowControl/>
              <w:snapToGrid w:val="0"/>
              <w:spacing w:line="240" w:lineRule="auto"/>
              <w:ind w:firstLine="0" w:firstLineChars="0"/>
              <w:jc w:val="center"/>
              <w:textAlignment w:val="center"/>
              <w:rPr>
                <w:rFonts w:cs="Arial"/>
                <w:color w:val="000000"/>
                <w:sz w:val="21"/>
                <w:szCs w:val="21"/>
              </w:rPr>
            </w:pPr>
            <w:r>
              <w:rPr>
                <w:rFonts w:hint="eastAsia" w:cs="Arial"/>
                <w:color w:val="000000"/>
                <w:sz w:val="21"/>
                <w:szCs w:val="21"/>
              </w:rPr>
              <w:t>未调整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trPr>
        <w:tc>
          <w:tcPr>
            <w:tcW w:w="819" w:type="pct"/>
            <w:vMerge w:val="continue"/>
            <w:shd w:val="clear" w:color="auto" w:fill="auto"/>
            <w:vAlign w:val="center"/>
          </w:tcPr>
          <w:p>
            <w:pPr>
              <w:widowControl/>
              <w:snapToGrid w:val="0"/>
              <w:spacing w:line="240" w:lineRule="auto"/>
              <w:ind w:firstLine="0" w:firstLineChars="0"/>
              <w:jc w:val="center"/>
              <w:textAlignment w:val="center"/>
              <w:rPr>
                <w:rFonts w:cs="仿宋_GB2312"/>
                <w:color w:val="000000"/>
                <w:kern w:val="0"/>
                <w:sz w:val="21"/>
                <w:szCs w:val="21"/>
                <w:lang w:bidi="ar"/>
              </w:rPr>
            </w:pPr>
          </w:p>
        </w:tc>
        <w:tc>
          <w:tcPr>
            <w:tcW w:w="614" w:type="pct"/>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hint="eastAsia" w:cs="Times New Roman"/>
                <w:color w:val="000000"/>
                <w:kern w:val="0"/>
                <w:sz w:val="21"/>
                <w:szCs w:val="21"/>
                <w:lang w:bidi="ar"/>
              </w:rPr>
              <w:t>地块四</w:t>
            </w:r>
          </w:p>
        </w:tc>
        <w:tc>
          <w:tcPr>
            <w:tcW w:w="902" w:type="pct"/>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eastAsia="宋体" w:cs="Times New Roman"/>
                <w:color w:val="000000"/>
                <w:kern w:val="0"/>
                <w:sz w:val="21"/>
                <w:szCs w:val="21"/>
                <w:lang w:bidi="ar"/>
              </w:rPr>
              <w:t>11.2635</w:t>
            </w:r>
          </w:p>
        </w:tc>
        <w:tc>
          <w:tcPr>
            <w:tcW w:w="1361" w:type="dxa"/>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hint="eastAsia"/>
                <w:color w:val="000000"/>
                <w:kern w:val="0"/>
                <w:sz w:val="21"/>
                <w:szCs w:val="21"/>
                <w:lang w:bidi="ar"/>
              </w:rPr>
              <w:t>11.2635</w:t>
            </w:r>
          </w:p>
        </w:tc>
        <w:tc>
          <w:tcPr>
            <w:tcW w:w="932" w:type="pct"/>
            <w:shd w:val="clear" w:color="auto" w:fill="auto"/>
            <w:vAlign w:val="center"/>
          </w:tcPr>
          <w:p>
            <w:pPr>
              <w:widowControl/>
              <w:snapToGrid w:val="0"/>
              <w:spacing w:line="240" w:lineRule="auto"/>
              <w:ind w:firstLine="0" w:firstLineChars="0"/>
              <w:jc w:val="center"/>
              <w:textAlignment w:val="center"/>
              <w:rPr>
                <w:rFonts w:cs="华文细黑"/>
                <w:color w:val="000000"/>
                <w:kern w:val="0"/>
                <w:sz w:val="21"/>
                <w:szCs w:val="21"/>
                <w:lang w:bidi="ar"/>
              </w:rPr>
            </w:pPr>
            <w:r>
              <w:rPr>
                <w:rFonts w:hint="eastAsia" w:cs="华文细黑"/>
                <w:color w:val="000000"/>
                <w:kern w:val="0"/>
                <w:sz w:val="21"/>
                <w:szCs w:val="21"/>
                <w:lang w:bidi="ar"/>
              </w:rPr>
              <w:t>0</w:t>
            </w:r>
          </w:p>
        </w:tc>
        <w:tc>
          <w:tcPr>
            <w:tcW w:w="966" w:type="pct"/>
            <w:shd w:val="clear" w:color="auto" w:fill="auto"/>
            <w:vAlign w:val="center"/>
          </w:tcPr>
          <w:p>
            <w:pPr>
              <w:widowControl/>
              <w:snapToGrid w:val="0"/>
              <w:spacing w:line="240" w:lineRule="auto"/>
              <w:ind w:firstLine="0" w:firstLineChars="0"/>
              <w:jc w:val="center"/>
              <w:textAlignment w:val="center"/>
              <w:rPr>
                <w:rFonts w:cs="Arial"/>
                <w:color w:val="000000"/>
                <w:sz w:val="21"/>
                <w:szCs w:val="21"/>
              </w:rPr>
            </w:pPr>
            <w:r>
              <w:rPr>
                <w:rFonts w:hint="eastAsia" w:cs="Arial"/>
                <w:color w:val="000000"/>
                <w:sz w:val="21"/>
                <w:szCs w:val="21"/>
              </w:rPr>
              <w:t>未调整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trPr>
        <w:tc>
          <w:tcPr>
            <w:tcW w:w="819" w:type="pct"/>
            <w:vMerge w:val="continue"/>
            <w:shd w:val="clear" w:color="auto" w:fill="auto"/>
            <w:vAlign w:val="center"/>
          </w:tcPr>
          <w:p>
            <w:pPr>
              <w:widowControl/>
              <w:snapToGrid w:val="0"/>
              <w:spacing w:line="240" w:lineRule="auto"/>
              <w:ind w:firstLine="0" w:firstLineChars="0"/>
              <w:jc w:val="center"/>
              <w:textAlignment w:val="center"/>
              <w:rPr>
                <w:rFonts w:cs="仿宋_GB2312"/>
                <w:color w:val="000000"/>
                <w:kern w:val="0"/>
                <w:sz w:val="21"/>
                <w:szCs w:val="21"/>
                <w:lang w:bidi="ar"/>
              </w:rPr>
            </w:pPr>
          </w:p>
        </w:tc>
        <w:tc>
          <w:tcPr>
            <w:tcW w:w="614" w:type="pct"/>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hint="eastAsia" w:cs="Times New Roman"/>
                <w:color w:val="000000"/>
                <w:kern w:val="0"/>
                <w:sz w:val="21"/>
                <w:szCs w:val="21"/>
                <w:lang w:bidi="ar"/>
              </w:rPr>
              <w:t>地块五</w:t>
            </w:r>
          </w:p>
        </w:tc>
        <w:tc>
          <w:tcPr>
            <w:tcW w:w="902" w:type="pct"/>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eastAsia="宋体" w:cs="Times New Roman"/>
                <w:color w:val="000000"/>
                <w:kern w:val="0"/>
                <w:sz w:val="21"/>
                <w:szCs w:val="21"/>
                <w:lang w:bidi="ar"/>
              </w:rPr>
              <w:t>8.0893</w:t>
            </w:r>
          </w:p>
        </w:tc>
        <w:tc>
          <w:tcPr>
            <w:tcW w:w="1361" w:type="dxa"/>
            <w:shd w:val="clear" w:color="auto" w:fill="auto"/>
            <w:vAlign w:val="center"/>
          </w:tcPr>
          <w:p>
            <w:pPr>
              <w:widowControl/>
              <w:snapToGrid w:val="0"/>
              <w:spacing w:line="240" w:lineRule="auto"/>
              <w:ind w:firstLine="0" w:firstLineChars="0"/>
              <w:jc w:val="center"/>
              <w:textAlignment w:val="center"/>
              <w:rPr>
                <w:rFonts w:hint="eastAsia" w:eastAsia="仿宋_GB2312" w:cs="Times New Roman"/>
                <w:color w:val="000000"/>
                <w:kern w:val="0"/>
                <w:sz w:val="21"/>
                <w:szCs w:val="21"/>
                <w:lang w:val="en-US" w:eastAsia="zh-CN" w:bidi="ar"/>
              </w:rPr>
            </w:pPr>
            <w:r>
              <w:rPr>
                <w:rFonts w:hint="eastAsia" w:cs="Times New Roman"/>
                <w:color w:val="000000"/>
                <w:kern w:val="0"/>
                <w:sz w:val="21"/>
                <w:szCs w:val="21"/>
                <w:highlight w:val="none"/>
                <w:lang w:bidi="ar"/>
              </w:rPr>
              <w:t>8.089</w:t>
            </w:r>
            <w:r>
              <w:rPr>
                <w:rFonts w:hint="eastAsia" w:cs="Times New Roman"/>
                <w:color w:val="000000"/>
                <w:kern w:val="0"/>
                <w:sz w:val="21"/>
                <w:szCs w:val="21"/>
                <w:highlight w:val="none"/>
                <w:lang w:val="en-US" w:eastAsia="zh-CN" w:bidi="ar"/>
              </w:rPr>
              <w:t>6</w:t>
            </w:r>
          </w:p>
        </w:tc>
        <w:tc>
          <w:tcPr>
            <w:tcW w:w="932" w:type="pct"/>
            <w:shd w:val="clear" w:color="auto" w:fill="auto"/>
            <w:vAlign w:val="center"/>
          </w:tcPr>
          <w:p>
            <w:pPr>
              <w:widowControl/>
              <w:snapToGrid w:val="0"/>
              <w:spacing w:line="240" w:lineRule="auto"/>
              <w:ind w:firstLine="0" w:firstLineChars="0"/>
              <w:jc w:val="center"/>
              <w:textAlignment w:val="center"/>
              <w:rPr>
                <w:rFonts w:hint="default" w:eastAsia="仿宋_GB2312" w:cs="华文细黑"/>
                <w:color w:val="000000"/>
                <w:kern w:val="0"/>
                <w:sz w:val="21"/>
                <w:szCs w:val="21"/>
                <w:lang w:val="en-US" w:eastAsia="zh-CN" w:bidi="ar"/>
              </w:rPr>
            </w:pPr>
            <w:r>
              <w:rPr>
                <w:rFonts w:hint="eastAsia" w:cs="华文细黑"/>
                <w:color w:val="000000"/>
                <w:kern w:val="0"/>
                <w:sz w:val="21"/>
                <w:szCs w:val="21"/>
                <w:lang w:val="en-US" w:eastAsia="zh-CN" w:bidi="ar"/>
              </w:rPr>
              <w:t>0.0003</w:t>
            </w:r>
          </w:p>
        </w:tc>
        <w:tc>
          <w:tcPr>
            <w:tcW w:w="966" w:type="pct"/>
            <w:shd w:val="clear" w:color="auto" w:fill="auto"/>
            <w:vAlign w:val="center"/>
          </w:tcPr>
          <w:p>
            <w:pPr>
              <w:widowControl/>
              <w:snapToGrid w:val="0"/>
              <w:spacing w:line="240" w:lineRule="auto"/>
              <w:ind w:firstLine="0" w:firstLineChars="0"/>
              <w:jc w:val="center"/>
              <w:textAlignment w:val="center"/>
              <w:rPr>
                <w:rFonts w:cs="Arial"/>
                <w:color w:val="000000"/>
                <w:sz w:val="21"/>
                <w:szCs w:val="21"/>
              </w:rPr>
            </w:pPr>
            <w:r>
              <w:rPr>
                <w:rFonts w:hint="eastAsia" w:cs="华文细黑"/>
                <w:color w:val="000000"/>
                <w:kern w:val="0"/>
                <w:sz w:val="21"/>
                <w:szCs w:val="21"/>
                <w:lang w:bidi="ar"/>
              </w:rPr>
              <w:t>未调整，省厅压占系统面积平差导致差异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trPr>
        <w:tc>
          <w:tcPr>
            <w:tcW w:w="819" w:type="pct"/>
            <w:vMerge w:val="continue"/>
            <w:shd w:val="clear" w:color="auto" w:fill="auto"/>
            <w:vAlign w:val="center"/>
          </w:tcPr>
          <w:p>
            <w:pPr>
              <w:widowControl/>
              <w:snapToGrid w:val="0"/>
              <w:spacing w:line="240" w:lineRule="auto"/>
              <w:ind w:firstLine="0" w:firstLineChars="0"/>
              <w:jc w:val="center"/>
              <w:textAlignment w:val="center"/>
              <w:rPr>
                <w:rFonts w:cs="仿宋_GB2312"/>
                <w:color w:val="000000"/>
                <w:kern w:val="0"/>
                <w:sz w:val="21"/>
                <w:szCs w:val="21"/>
                <w:lang w:bidi="ar"/>
              </w:rPr>
            </w:pPr>
          </w:p>
        </w:tc>
        <w:tc>
          <w:tcPr>
            <w:tcW w:w="614" w:type="pct"/>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hint="eastAsia" w:cs="Times New Roman"/>
                <w:color w:val="000000"/>
                <w:kern w:val="0"/>
                <w:sz w:val="21"/>
                <w:szCs w:val="21"/>
                <w:lang w:bidi="ar"/>
              </w:rPr>
              <w:t>地块六</w:t>
            </w:r>
          </w:p>
        </w:tc>
        <w:tc>
          <w:tcPr>
            <w:tcW w:w="902" w:type="pct"/>
            <w:shd w:val="clear" w:color="auto" w:fill="auto"/>
            <w:vAlign w:val="center"/>
          </w:tcPr>
          <w:p>
            <w:pPr>
              <w:widowControl/>
              <w:snapToGrid w:val="0"/>
              <w:spacing w:line="240" w:lineRule="auto"/>
              <w:ind w:firstLine="0" w:firstLineChars="0"/>
              <w:jc w:val="center"/>
              <w:textAlignment w:val="center"/>
              <w:rPr>
                <w:rFonts w:eastAsia="宋体" w:cs="Times New Roman"/>
                <w:color w:val="000000"/>
                <w:kern w:val="0"/>
                <w:sz w:val="21"/>
                <w:szCs w:val="21"/>
                <w:lang w:bidi="ar"/>
              </w:rPr>
            </w:pPr>
            <w:r>
              <w:rPr>
                <w:rFonts w:eastAsia="宋体" w:cs="Times New Roman"/>
                <w:color w:val="000000"/>
                <w:kern w:val="0"/>
                <w:sz w:val="21"/>
                <w:szCs w:val="21"/>
                <w:lang w:bidi="ar"/>
              </w:rPr>
              <w:t>63.9804</w:t>
            </w:r>
          </w:p>
        </w:tc>
        <w:tc>
          <w:tcPr>
            <w:tcW w:w="1361" w:type="dxa"/>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hint="eastAsia"/>
                <w:color w:val="000000"/>
                <w:kern w:val="0"/>
                <w:sz w:val="21"/>
                <w:szCs w:val="21"/>
                <w:lang w:bidi="ar"/>
              </w:rPr>
              <w:t>63.9805</w:t>
            </w:r>
          </w:p>
        </w:tc>
        <w:tc>
          <w:tcPr>
            <w:tcW w:w="932" w:type="pct"/>
            <w:shd w:val="clear" w:color="auto" w:fill="auto"/>
            <w:vAlign w:val="center"/>
          </w:tcPr>
          <w:p>
            <w:pPr>
              <w:widowControl/>
              <w:snapToGrid w:val="0"/>
              <w:spacing w:line="240" w:lineRule="auto"/>
              <w:ind w:firstLine="0" w:firstLineChars="0"/>
              <w:jc w:val="center"/>
              <w:textAlignment w:val="center"/>
              <w:rPr>
                <w:rFonts w:cs="华文细黑"/>
                <w:color w:val="000000"/>
                <w:kern w:val="0"/>
                <w:sz w:val="21"/>
                <w:szCs w:val="21"/>
                <w:lang w:bidi="ar"/>
              </w:rPr>
            </w:pPr>
            <w:r>
              <w:rPr>
                <w:rFonts w:hint="eastAsia" w:cs="华文细黑"/>
                <w:color w:val="000000"/>
                <w:kern w:val="0"/>
                <w:sz w:val="21"/>
                <w:szCs w:val="21"/>
                <w:lang w:bidi="ar"/>
              </w:rPr>
              <w:t>-0.0001</w:t>
            </w:r>
          </w:p>
        </w:tc>
        <w:tc>
          <w:tcPr>
            <w:tcW w:w="966" w:type="pct"/>
            <w:shd w:val="clear" w:color="auto" w:fill="auto"/>
            <w:vAlign w:val="center"/>
          </w:tcPr>
          <w:p>
            <w:pPr>
              <w:widowControl/>
              <w:snapToGrid w:val="0"/>
              <w:spacing w:line="240" w:lineRule="auto"/>
              <w:ind w:firstLine="0" w:firstLineChars="0"/>
              <w:jc w:val="center"/>
              <w:textAlignment w:val="center"/>
              <w:rPr>
                <w:rFonts w:cs="Arial"/>
                <w:color w:val="000000"/>
                <w:sz w:val="21"/>
                <w:szCs w:val="21"/>
              </w:rPr>
            </w:pPr>
            <w:r>
              <w:rPr>
                <w:rFonts w:hint="eastAsia" w:cs="华文细黑"/>
                <w:color w:val="000000"/>
                <w:kern w:val="0"/>
                <w:sz w:val="21"/>
                <w:szCs w:val="21"/>
                <w:lang w:bidi="ar"/>
              </w:rPr>
              <w:t>未调整，省厅压占系统面积平差导致差异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19" w:type="pct"/>
            <w:vMerge w:val="continue"/>
            <w:shd w:val="clear" w:color="auto" w:fill="auto"/>
            <w:vAlign w:val="center"/>
          </w:tcPr>
          <w:p>
            <w:pPr>
              <w:widowControl/>
              <w:snapToGrid w:val="0"/>
              <w:spacing w:line="240" w:lineRule="auto"/>
              <w:ind w:firstLine="0" w:firstLineChars="0"/>
              <w:jc w:val="center"/>
              <w:textAlignment w:val="center"/>
              <w:rPr>
                <w:rFonts w:cs="仿宋_GB2312"/>
                <w:color w:val="000000"/>
                <w:kern w:val="0"/>
                <w:sz w:val="21"/>
                <w:szCs w:val="21"/>
                <w:lang w:bidi="ar"/>
              </w:rPr>
            </w:pPr>
          </w:p>
        </w:tc>
        <w:tc>
          <w:tcPr>
            <w:tcW w:w="614" w:type="pct"/>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hint="eastAsia" w:cs="Times New Roman"/>
                <w:color w:val="000000"/>
                <w:kern w:val="0"/>
                <w:sz w:val="21"/>
                <w:szCs w:val="21"/>
                <w:lang w:bidi="ar"/>
              </w:rPr>
              <w:t>地块七</w:t>
            </w:r>
          </w:p>
        </w:tc>
        <w:tc>
          <w:tcPr>
            <w:tcW w:w="902" w:type="pct"/>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eastAsia="宋体" w:cs="Times New Roman"/>
                <w:color w:val="000000"/>
                <w:kern w:val="0"/>
                <w:sz w:val="21"/>
                <w:szCs w:val="21"/>
                <w:lang w:bidi="ar"/>
              </w:rPr>
              <w:t>0.2634</w:t>
            </w:r>
          </w:p>
        </w:tc>
        <w:tc>
          <w:tcPr>
            <w:tcW w:w="1361" w:type="dxa"/>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hint="eastAsia"/>
                <w:color w:val="000000"/>
                <w:kern w:val="0"/>
                <w:sz w:val="21"/>
                <w:szCs w:val="21"/>
                <w:lang w:bidi="ar"/>
              </w:rPr>
              <w:t>0</w:t>
            </w:r>
          </w:p>
        </w:tc>
        <w:tc>
          <w:tcPr>
            <w:tcW w:w="932" w:type="pct"/>
            <w:shd w:val="clear" w:color="auto" w:fill="auto"/>
            <w:vAlign w:val="center"/>
          </w:tcPr>
          <w:p>
            <w:pPr>
              <w:widowControl/>
              <w:snapToGrid w:val="0"/>
              <w:spacing w:line="240" w:lineRule="auto"/>
              <w:ind w:firstLine="0" w:firstLineChars="0"/>
              <w:jc w:val="center"/>
              <w:textAlignment w:val="center"/>
              <w:rPr>
                <w:rFonts w:cs="华文细黑"/>
                <w:color w:val="000000"/>
                <w:kern w:val="0"/>
                <w:sz w:val="21"/>
                <w:szCs w:val="21"/>
                <w:lang w:bidi="ar"/>
              </w:rPr>
            </w:pPr>
            <w:r>
              <w:rPr>
                <w:rFonts w:hint="eastAsia" w:cs="华文细黑"/>
                <w:color w:val="000000"/>
                <w:kern w:val="0"/>
                <w:sz w:val="21"/>
                <w:szCs w:val="21"/>
                <w:lang w:bidi="ar"/>
              </w:rPr>
              <w:t>-0.2634</w:t>
            </w:r>
          </w:p>
        </w:tc>
        <w:tc>
          <w:tcPr>
            <w:tcW w:w="966" w:type="pct"/>
            <w:shd w:val="clear" w:color="auto" w:fill="auto"/>
            <w:vAlign w:val="center"/>
          </w:tcPr>
          <w:p>
            <w:pPr>
              <w:widowControl/>
              <w:snapToGrid w:val="0"/>
              <w:spacing w:line="240" w:lineRule="auto"/>
              <w:ind w:firstLine="0" w:firstLineChars="0"/>
              <w:jc w:val="center"/>
              <w:textAlignment w:val="center"/>
              <w:rPr>
                <w:rFonts w:cs="Arial"/>
                <w:color w:val="000000"/>
                <w:sz w:val="21"/>
                <w:szCs w:val="21"/>
              </w:rPr>
            </w:pPr>
            <w:r>
              <w:rPr>
                <w:rFonts w:hint="eastAsia" w:cs="Arial"/>
                <w:color w:val="000000"/>
                <w:sz w:val="21"/>
                <w:szCs w:val="21"/>
              </w:rPr>
              <w:t>东源县梅子大道土地储备项目撤销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trPr>
        <w:tc>
          <w:tcPr>
            <w:tcW w:w="819" w:type="pct"/>
            <w:vMerge w:val="continue"/>
            <w:shd w:val="clear" w:color="auto" w:fill="auto"/>
            <w:vAlign w:val="center"/>
          </w:tcPr>
          <w:p>
            <w:pPr>
              <w:widowControl/>
              <w:snapToGrid w:val="0"/>
              <w:spacing w:line="240" w:lineRule="auto"/>
              <w:ind w:firstLine="0" w:firstLineChars="0"/>
              <w:jc w:val="center"/>
              <w:textAlignment w:val="center"/>
              <w:rPr>
                <w:rFonts w:cs="仿宋_GB2312"/>
                <w:color w:val="000000"/>
                <w:kern w:val="0"/>
                <w:sz w:val="21"/>
                <w:szCs w:val="21"/>
                <w:lang w:bidi="ar"/>
              </w:rPr>
            </w:pPr>
          </w:p>
        </w:tc>
        <w:tc>
          <w:tcPr>
            <w:tcW w:w="614" w:type="pct"/>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hint="eastAsia" w:cs="Times New Roman"/>
                <w:color w:val="000000"/>
                <w:kern w:val="0"/>
                <w:sz w:val="21"/>
                <w:szCs w:val="21"/>
                <w:lang w:bidi="ar"/>
              </w:rPr>
              <w:t>地块八</w:t>
            </w:r>
          </w:p>
        </w:tc>
        <w:tc>
          <w:tcPr>
            <w:tcW w:w="902" w:type="pct"/>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eastAsia="宋体" w:cs="Times New Roman"/>
                <w:color w:val="000000"/>
                <w:kern w:val="0"/>
                <w:sz w:val="21"/>
                <w:szCs w:val="21"/>
                <w:lang w:bidi="ar"/>
              </w:rPr>
              <w:t>0.0676</w:t>
            </w:r>
          </w:p>
        </w:tc>
        <w:tc>
          <w:tcPr>
            <w:tcW w:w="1361" w:type="dxa"/>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hint="eastAsia"/>
                <w:color w:val="000000"/>
                <w:kern w:val="0"/>
                <w:sz w:val="21"/>
                <w:szCs w:val="21"/>
                <w:lang w:bidi="ar"/>
              </w:rPr>
              <w:t>0.0676</w:t>
            </w:r>
          </w:p>
        </w:tc>
        <w:tc>
          <w:tcPr>
            <w:tcW w:w="932" w:type="pct"/>
            <w:shd w:val="clear" w:color="auto" w:fill="auto"/>
            <w:vAlign w:val="center"/>
          </w:tcPr>
          <w:p>
            <w:pPr>
              <w:widowControl/>
              <w:snapToGrid w:val="0"/>
              <w:spacing w:line="240" w:lineRule="auto"/>
              <w:ind w:firstLine="0" w:firstLineChars="0"/>
              <w:jc w:val="center"/>
              <w:textAlignment w:val="center"/>
              <w:rPr>
                <w:rFonts w:cs="华文细黑"/>
                <w:color w:val="000000"/>
                <w:kern w:val="0"/>
                <w:sz w:val="21"/>
                <w:szCs w:val="21"/>
                <w:lang w:bidi="ar"/>
              </w:rPr>
            </w:pPr>
            <w:r>
              <w:rPr>
                <w:rFonts w:hint="eastAsia" w:cs="华文细黑"/>
                <w:color w:val="000000"/>
                <w:kern w:val="0"/>
                <w:sz w:val="21"/>
                <w:szCs w:val="21"/>
                <w:lang w:bidi="ar"/>
              </w:rPr>
              <w:t>0</w:t>
            </w:r>
          </w:p>
        </w:tc>
        <w:tc>
          <w:tcPr>
            <w:tcW w:w="966" w:type="pct"/>
            <w:shd w:val="clear" w:color="auto" w:fill="auto"/>
            <w:vAlign w:val="center"/>
          </w:tcPr>
          <w:p>
            <w:pPr>
              <w:widowControl/>
              <w:snapToGrid w:val="0"/>
              <w:spacing w:line="240" w:lineRule="auto"/>
              <w:ind w:firstLine="0" w:firstLineChars="0"/>
              <w:jc w:val="center"/>
              <w:textAlignment w:val="center"/>
              <w:rPr>
                <w:rFonts w:cs="Arial"/>
                <w:color w:val="000000"/>
                <w:sz w:val="21"/>
                <w:szCs w:val="21"/>
              </w:rPr>
            </w:pPr>
            <w:r>
              <w:rPr>
                <w:rFonts w:hint="eastAsia" w:cs="华文细黑"/>
                <w:color w:val="000000"/>
                <w:kern w:val="0"/>
                <w:sz w:val="21"/>
                <w:szCs w:val="21"/>
                <w:lang w:bidi="ar"/>
              </w:rPr>
              <w:t>未调整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trPr>
        <w:tc>
          <w:tcPr>
            <w:tcW w:w="819" w:type="pct"/>
            <w:vMerge w:val="continue"/>
            <w:shd w:val="clear" w:color="auto" w:fill="auto"/>
            <w:vAlign w:val="center"/>
          </w:tcPr>
          <w:p>
            <w:pPr>
              <w:widowControl/>
              <w:snapToGrid w:val="0"/>
              <w:spacing w:line="240" w:lineRule="auto"/>
              <w:ind w:firstLine="0" w:firstLineChars="0"/>
              <w:jc w:val="center"/>
              <w:textAlignment w:val="center"/>
              <w:rPr>
                <w:rFonts w:cs="仿宋_GB2312"/>
                <w:color w:val="000000"/>
                <w:kern w:val="0"/>
                <w:sz w:val="21"/>
                <w:szCs w:val="21"/>
                <w:lang w:bidi="ar"/>
              </w:rPr>
            </w:pPr>
          </w:p>
        </w:tc>
        <w:tc>
          <w:tcPr>
            <w:tcW w:w="614" w:type="pct"/>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hint="eastAsia" w:cs="Times New Roman"/>
                <w:color w:val="000000"/>
                <w:kern w:val="0"/>
                <w:sz w:val="21"/>
                <w:szCs w:val="21"/>
                <w:lang w:bidi="ar"/>
              </w:rPr>
              <w:t>地块九</w:t>
            </w:r>
          </w:p>
        </w:tc>
        <w:tc>
          <w:tcPr>
            <w:tcW w:w="902" w:type="pct"/>
            <w:shd w:val="clear" w:color="auto" w:fill="auto"/>
            <w:vAlign w:val="center"/>
          </w:tcPr>
          <w:p>
            <w:pPr>
              <w:widowControl/>
              <w:snapToGrid w:val="0"/>
              <w:spacing w:line="240" w:lineRule="auto"/>
              <w:ind w:firstLine="0" w:firstLineChars="0"/>
              <w:jc w:val="center"/>
              <w:textAlignment w:val="center"/>
              <w:rPr>
                <w:rFonts w:eastAsia="宋体" w:cs="Times New Roman"/>
                <w:color w:val="000000"/>
                <w:kern w:val="0"/>
                <w:sz w:val="21"/>
                <w:szCs w:val="21"/>
                <w:lang w:bidi="ar"/>
              </w:rPr>
            </w:pPr>
            <w:r>
              <w:rPr>
                <w:rFonts w:eastAsia="宋体" w:cs="Times New Roman"/>
                <w:color w:val="000000"/>
                <w:kern w:val="0"/>
                <w:sz w:val="21"/>
                <w:szCs w:val="21"/>
                <w:lang w:bidi="ar"/>
              </w:rPr>
              <w:t>0.0122</w:t>
            </w:r>
          </w:p>
        </w:tc>
        <w:tc>
          <w:tcPr>
            <w:tcW w:w="1361" w:type="dxa"/>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hint="eastAsia"/>
                <w:color w:val="000000"/>
                <w:kern w:val="0"/>
                <w:sz w:val="21"/>
                <w:szCs w:val="21"/>
                <w:lang w:bidi="ar"/>
              </w:rPr>
              <w:t>0.0123</w:t>
            </w:r>
          </w:p>
        </w:tc>
        <w:tc>
          <w:tcPr>
            <w:tcW w:w="932" w:type="pct"/>
            <w:shd w:val="clear" w:color="auto" w:fill="auto"/>
            <w:vAlign w:val="center"/>
          </w:tcPr>
          <w:p>
            <w:pPr>
              <w:widowControl/>
              <w:snapToGrid w:val="0"/>
              <w:spacing w:line="240" w:lineRule="auto"/>
              <w:ind w:firstLine="0" w:firstLineChars="0"/>
              <w:jc w:val="center"/>
              <w:textAlignment w:val="center"/>
              <w:rPr>
                <w:rFonts w:cs="华文细黑"/>
                <w:color w:val="000000"/>
                <w:kern w:val="0"/>
                <w:sz w:val="21"/>
                <w:szCs w:val="21"/>
                <w:lang w:bidi="ar"/>
              </w:rPr>
            </w:pPr>
            <w:r>
              <w:rPr>
                <w:rFonts w:hint="eastAsia" w:cs="华文细黑"/>
                <w:color w:val="000000"/>
                <w:kern w:val="0"/>
                <w:sz w:val="21"/>
                <w:szCs w:val="21"/>
                <w:lang w:bidi="ar"/>
              </w:rPr>
              <w:t>0.0001</w:t>
            </w:r>
          </w:p>
        </w:tc>
        <w:tc>
          <w:tcPr>
            <w:tcW w:w="966" w:type="pct"/>
            <w:shd w:val="clear" w:color="auto" w:fill="auto"/>
            <w:vAlign w:val="center"/>
          </w:tcPr>
          <w:p>
            <w:pPr>
              <w:widowControl/>
              <w:snapToGrid w:val="0"/>
              <w:spacing w:line="240" w:lineRule="auto"/>
              <w:ind w:firstLine="0" w:firstLineChars="0"/>
              <w:jc w:val="center"/>
              <w:textAlignment w:val="center"/>
              <w:rPr>
                <w:rFonts w:cs="Arial"/>
                <w:color w:val="000000"/>
                <w:sz w:val="21"/>
                <w:szCs w:val="21"/>
              </w:rPr>
            </w:pPr>
            <w:r>
              <w:rPr>
                <w:rFonts w:hint="eastAsia" w:cs="华文细黑"/>
                <w:color w:val="000000"/>
                <w:kern w:val="0"/>
                <w:sz w:val="21"/>
                <w:szCs w:val="21"/>
                <w:lang w:bidi="ar"/>
              </w:rPr>
              <w:t>未调整，省厅压占系统面积平差导致差异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trPr>
        <w:tc>
          <w:tcPr>
            <w:tcW w:w="819" w:type="pct"/>
            <w:vMerge w:val="restart"/>
            <w:shd w:val="clear" w:color="auto" w:fill="auto"/>
            <w:vAlign w:val="center"/>
          </w:tcPr>
          <w:p>
            <w:pPr>
              <w:widowControl/>
              <w:snapToGrid w:val="0"/>
              <w:spacing w:line="240" w:lineRule="auto"/>
              <w:ind w:firstLine="0" w:firstLineChars="0"/>
              <w:jc w:val="center"/>
              <w:textAlignment w:val="center"/>
              <w:rPr>
                <w:rFonts w:cs="仿宋_GB2312"/>
                <w:color w:val="000000"/>
                <w:sz w:val="21"/>
                <w:szCs w:val="21"/>
              </w:rPr>
            </w:pPr>
            <w:r>
              <w:rPr>
                <w:rFonts w:hint="eastAsia" w:cs="仿宋_GB2312"/>
                <w:color w:val="000000"/>
                <w:kern w:val="0"/>
                <w:sz w:val="21"/>
                <w:szCs w:val="21"/>
                <w:lang w:bidi="ar"/>
              </w:rPr>
              <w:t>灯塔片区</w:t>
            </w:r>
          </w:p>
        </w:tc>
        <w:tc>
          <w:tcPr>
            <w:tcW w:w="614" w:type="pct"/>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hint="eastAsia" w:cs="Times New Roman"/>
                <w:color w:val="000000"/>
                <w:kern w:val="0"/>
                <w:sz w:val="21"/>
                <w:szCs w:val="21"/>
                <w:lang w:bidi="ar"/>
              </w:rPr>
              <w:t>地块十</w:t>
            </w:r>
          </w:p>
        </w:tc>
        <w:tc>
          <w:tcPr>
            <w:tcW w:w="902" w:type="pct"/>
            <w:shd w:val="clear" w:color="auto" w:fill="auto"/>
            <w:vAlign w:val="center"/>
          </w:tcPr>
          <w:p>
            <w:pPr>
              <w:widowControl/>
              <w:snapToGrid w:val="0"/>
              <w:spacing w:line="240" w:lineRule="auto"/>
              <w:ind w:firstLine="0" w:firstLineChars="0"/>
              <w:jc w:val="center"/>
              <w:textAlignment w:val="center"/>
              <w:rPr>
                <w:rFonts w:cs="Times New Roman"/>
                <w:color w:val="000000"/>
                <w:sz w:val="21"/>
                <w:szCs w:val="21"/>
              </w:rPr>
            </w:pPr>
            <w:r>
              <w:rPr>
                <w:rFonts w:eastAsia="宋体" w:cs="Times New Roman"/>
                <w:color w:val="000000"/>
                <w:kern w:val="0"/>
                <w:sz w:val="21"/>
                <w:szCs w:val="21"/>
                <w:lang w:bidi="ar"/>
              </w:rPr>
              <w:t>8.6036</w:t>
            </w:r>
          </w:p>
        </w:tc>
        <w:tc>
          <w:tcPr>
            <w:tcW w:w="1361" w:type="dxa"/>
            <w:shd w:val="clear" w:color="auto" w:fill="auto"/>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6.7164</w:t>
            </w:r>
          </w:p>
        </w:tc>
        <w:tc>
          <w:tcPr>
            <w:tcW w:w="932" w:type="pct"/>
            <w:shd w:val="clear" w:color="auto" w:fill="auto"/>
            <w:vAlign w:val="center"/>
          </w:tcPr>
          <w:p>
            <w:pPr>
              <w:widowControl/>
              <w:snapToGrid w:val="0"/>
              <w:spacing w:line="240" w:lineRule="auto"/>
              <w:ind w:firstLine="0" w:firstLineChars="0"/>
              <w:jc w:val="center"/>
              <w:textAlignment w:val="center"/>
              <w:rPr>
                <w:rFonts w:cs="华文细黑"/>
                <w:color w:val="000000"/>
                <w:sz w:val="21"/>
                <w:szCs w:val="21"/>
              </w:rPr>
            </w:pPr>
            <w:r>
              <w:rPr>
                <w:rFonts w:hint="eastAsia" w:cs="华文细黑"/>
                <w:color w:val="000000"/>
                <w:sz w:val="21"/>
                <w:szCs w:val="21"/>
              </w:rPr>
              <w:t>-1.8872</w:t>
            </w:r>
          </w:p>
        </w:tc>
        <w:tc>
          <w:tcPr>
            <w:tcW w:w="966" w:type="pct"/>
            <w:shd w:val="clear" w:color="auto" w:fill="auto"/>
            <w:vAlign w:val="center"/>
          </w:tcPr>
          <w:p>
            <w:pPr>
              <w:widowControl/>
              <w:snapToGrid w:val="0"/>
              <w:spacing w:line="240" w:lineRule="auto"/>
              <w:ind w:firstLine="0" w:firstLineChars="0"/>
              <w:jc w:val="center"/>
              <w:textAlignment w:val="center"/>
              <w:rPr>
                <w:rFonts w:cs="Arial"/>
                <w:color w:val="000000"/>
                <w:sz w:val="21"/>
                <w:szCs w:val="21"/>
              </w:rPr>
            </w:pPr>
            <w:r>
              <w:rPr>
                <w:rFonts w:hint="eastAsia" w:cs="Arial"/>
                <w:color w:val="000000"/>
                <w:sz w:val="21"/>
                <w:szCs w:val="21"/>
              </w:rPr>
              <w:t>东源县灯塔镇空气液化建设项目撤销；增设东源县灯塔镇陶瓷厂建设项目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trPr>
        <w:tc>
          <w:tcPr>
            <w:tcW w:w="819" w:type="pct"/>
            <w:vMerge w:val="continue"/>
            <w:shd w:val="clear" w:color="auto" w:fill="auto"/>
            <w:vAlign w:val="center"/>
          </w:tcPr>
          <w:p>
            <w:pPr>
              <w:widowControl/>
              <w:snapToGrid w:val="0"/>
              <w:spacing w:line="240" w:lineRule="auto"/>
              <w:ind w:firstLine="0" w:firstLineChars="0"/>
              <w:jc w:val="center"/>
              <w:textAlignment w:val="center"/>
              <w:rPr>
                <w:rFonts w:cs="仿宋_GB2312"/>
                <w:color w:val="000000"/>
                <w:kern w:val="0"/>
                <w:sz w:val="21"/>
                <w:szCs w:val="21"/>
                <w:lang w:bidi="ar"/>
              </w:rPr>
            </w:pPr>
          </w:p>
        </w:tc>
        <w:tc>
          <w:tcPr>
            <w:tcW w:w="614" w:type="pct"/>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hint="eastAsia" w:cs="Times New Roman"/>
                <w:color w:val="000000"/>
                <w:kern w:val="0"/>
                <w:sz w:val="21"/>
                <w:szCs w:val="21"/>
                <w:lang w:bidi="ar"/>
              </w:rPr>
              <w:t>地块十一</w:t>
            </w:r>
          </w:p>
        </w:tc>
        <w:tc>
          <w:tcPr>
            <w:tcW w:w="902" w:type="pct"/>
            <w:shd w:val="clear" w:color="auto" w:fill="auto"/>
            <w:vAlign w:val="center"/>
          </w:tcPr>
          <w:p>
            <w:pPr>
              <w:widowControl/>
              <w:snapToGrid w:val="0"/>
              <w:spacing w:line="240" w:lineRule="auto"/>
              <w:ind w:firstLine="0" w:firstLineChars="0"/>
              <w:jc w:val="center"/>
              <w:textAlignment w:val="center"/>
              <w:rPr>
                <w:rFonts w:eastAsia="宋体" w:cs="Times New Roman"/>
                <w:color w:val="000000"/>
                <w:kern w:val="0"/>
                <w:sz w:val="21"/>
                <w:szCs w:val="21"/>
                <w:lang w:bidi="ar"/>
              </w:rPr>
            </w:pPr>
            <w:r>
              <w:rPr>
                <w:rFonts w:eastAsia="宋体" w:cs="Times New Roman"/>
                <w:color w:val="000000"/>
                <w:kern w:val="0"/>
                <w:sz w:val="21"/>
                <w:szCs w:val="21"/>
                <w:lang w:bidi="ar"/>
              </w:rPr>
              <w:t>2.9632</w:t>
            </w:r>
          </w:p>
        </w:tc>
        <w:tc>
          <w:tcPr>
            <w:tcW w:w="1361" w:type="dxa"/>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hint="eastAsia"/>
                <w:color w:val="000000"/>
                <w:kern w:val="0"/>
                <w:sz w:val="21"/>
                <w:szCs w:val="21"/>
                <w:lang w:bidi="ar"/>
              </w:rPr>
              <w:t>2.9633</w:t>
            </w:r>
          </w:p>
        </w:tc>
        <w:tc>
          <w:tcPr>
            <w:tcW w:w="932" w:type="pct"/>
            <w:shd w:val="clear" w:color="auto" w:fill="auto"/>
            <w:vAlign w:val="center"/>
          </w:tcPr>
          <w:p>
            <w:pPr>
              <w:widowControl/>
              <w:snapToGrid w:val="0"/>
              <w:spacing w:line="240" w:lineRule="auto"/>
              <w:ind w:firstLine="0" w:firstLineChars="0"/>
              <w:jc w:val="center"/>
              <w:textAlignment w:val="center"/>
              <w:rPr>
                <w:rFonts w:cs="华文细黑"/>
                <w:color w:val="000000"/>
                <w:kern w:val="0"/>
                <w:sz w:val="21"/>
                <w:szCs w:val="21"/>
                <w:lang w:bidi="ar"/>
              </w:rPr>
            </w:pPr>
            <w:r>
              <w:rPr>
                <w:rFonts w:hint="eastAsia" w:cs="华文细黑"/>
                <w:color w:val="000000"/>
                <w:kern w:val="0"/>
                <w:sz w:val="21"/>
                <w:szCs w:val="21"/>
                <w:lang w:bidi="ar"/>
              </w:rPr>
              <w:t>0.0001</w:t>
            </w:r>
          </w:p>
        </w:tc>
        <w:tc>
          <w:tcPr>
            <w:tcW w:w="966" w:type="pct"/>
            <w:shd w:val="clear" w:color="auto" w:fill="auto"/>
            <w:vAlign w:val="center"/>
          </w:tcPr>
          <w:p>
            <w:pPr>
              <w:widowControl/>
              <w:snapToGrid w:val="0"/>
              <w:spacing w:line="240" w:lineRule="auto"/>
              <w:ind w:firstLine="0" w:firstLineChars="0"/>
              <w:jc w:val="center"/>
              <w:textAlignment w:val="center"/>
              <w:rPr>
                <w:rFonts w:cs="Arial"/>
                <w:color w:val="000000"/>
                <w:sz w:val="21"/>
                <w:szCs w:val="21"/>
              </w:rPr>
            </w:pPr>
            <w:r>
              <w:rPr>
                <w:rFonts w:hint="eastAsia" w:cs="华文细黑"/>
                <w:color w:val="000000"/>
                <w:kern w:val="0"/>
                <w:sz w:val="21"/>
                <w:szCs w:val="21"/>
                <w:lang w:bidi="ar"/>
              </w:rPr>
              <w:t>未调整，省厅压占系统面积平差导致差异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trPr>
        <w:tc>
          <w:tcPr>
            <w:tcW w:w="819" w:type="pct"/>
            <w:vMerge w:val="continue"/>
            <w:shd w:val="clear" w:color="auto" w:fill="auto"/>
            <w:vAlign w:val="center"/>
          </w:tcPr>
          <w:p>
            <w:pPr>
              <w:widowControl/>
              <w:snapToGrid w:val="0"/>
              <w:spacing w:line="240" w:lineRule="auto"/>
              <w:ind w:firstLine="0" w:firstLineChars="0"/>
              <w:jc w:val="center"/>
              <w:textAlignment w:val="center"/>
              <w:rPr>
                <w:rFonts w:cs="仿宋_GB2312"/>
                <w:color w:val="000000"/>
                <w:kern w:val="0"/>
                <w:sz w:val="21"/>
                <w:szCs w:val="21"/>
                <w:lang w:bidi="ar"/>
              </w:rPr>
            </w:pPr>
          </w:p>
        </w:tc>
        <w:tc>
          <w:tcPr>
            <w:tcW w:w="614" w:type="pct"/>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hint="eastAsia" w:cs="Times New Roman"/>
                <w:color w:val="000000"/>
                <w:kern w:val="0"/>
                <w:sz w:val="21"/>
                <w:szCs w:val="21"/>
                <w:lang w:bidi="ar"/>
              </w:rPr>
              <w:t>地块十二</w:t>
            </w:r>
          </w:p>
        </w:tc>
        <w:tc>
          <w:tcPr>
            <w:tcW w:w="902" w:type="pct"/>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eastAsia="宋体" w:cs="Times New Roman"/>
                <w:color w:val="000000"/>
                <w:kern w:val="0"/>
                <w:sz w:val="21"/>
                <w:szCs w:val="21"/>
                <w:lang w:bidi="ar"/>
              </w:rPr>
              <w:t>2.3268</w:t>
            </w:r>
          </w:p>
        </w:tc>
        <w:tc>
          <w:tcPr>
            <w:tcW w:w="1361" w:type="dxa"/>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hint="eastAsia"/>
                <w:color w:val="000000"/>
                <w:kern w:val="0"/>
                <w:sz w:val="21"/>
                <w:szCs w:val="21"/>
                <w:lang w:bidi="ar"/>
              </w:rPr>
              <w:t>0</w:t>
            </w:r>
          </w:p>
        </w:tc>
        <w:tc>
          <w:tcPr>
            <w:tcW w:w="932" w:type="pct"/>
            <w:shd w:val="clear" w:color="auto" w:fill="auto"/>
            <w:vAlign w:val="center"/>
          </w:tcPr>
          <w:p>
            <w:pPr>
              <w:widowControl/>
              <w:snapToGrid w:val="0"/>
              <w:spacing w:line="240" w:lineRule="auto"/>
              <w:ind w:firstLine="0" w:firstLineChars="0"/>
              <w:jc w:val="center"/>
              <w:textAlignment w:val="center"/>
              <w:rPr>
                <w:rFonts w:cs="华文细黑"/>
                <w:color w:val="000000"/>
                <w:kern w:val="0"/>
                <w:sz w:val="21"/>
                <w:szCs w:val="21"/>
                <w:lang w:bidi="ar"/>
              </w:rPr>
            </w:pPr>
            <w:r>
              <w:rPr>
                <w:rFonts w:hint="eastAsia" w:cs="华文细黑"/>
                <w:color w:val="000000"/>
                <w:kern w:val="0"/>
                <w:sz w:val="21"/>
                <w:szCs w:val="21"/>
                <w:lang w:bidi="ar"/>
              </w:rPr>
              <w:t>-2.3268</w:t>
            </w:r>
          </w:p>
        </w:tc>
        <w:tc>
          <w:tcPr>
            <w:tcW w:w="966" w:type="pct"/>
            <w:shd w:val="clear" w:color="auto" w:fill="auto"/>
            <w:vAlign w:val="center"/>
          </w:tcPr>
          <w:p>
            <w:pPr>
              <w:widowControl/>
              <w:snapToGrid w:val="0"/>
              <w:spacing w:line="240" w:lineRule="auto"/>
              <w:ind w:firstLine="0" w:firstLineChars="0"/>
              <w:jc w:val="center"/>
              <w:textAlignment w:val="center"/>
              <w:rPr>
                <w:rFonts w:cs="Arial"/>
                <w:color w:val="000000"/>
                <w:sz w:val="21"/>
                <w:szCs w:val="21"/>
              </w:rPr>
            </w:pPr>
            <w:r>
              <w:rPr>
                <w:rFonts w:hint="eastAsia" w:cs="华文细黑"/>
                <w:color w:val="000000"/>
                <w:kern w:val="0"/>
                <w:sz w:val="21"/>
                <w:szCs w:val="21"/>
                <w:lang w:bidi="ar"/>
              </w:rPr>
              <w:t>东源县灯塔镇机动车辆安全技术检测站建设项目撤销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trPr>
        <w:tc>
          <w:tcPr>
            <w:tcW w:w="819" w:type="pct"/>
            <w:vMerge w:val="restart"/>
            <w:shd w:val="clear" w:color="auto" w:fill="auto"/>
            <w:vAlign w:val="center"/>
          </w:tcPr>
          <w:p>
            <w:pPr>
              <w:widowControl/>
              <w:snapToGrid w:val="0"/>
              <w:spacing w:line="240" w:lineRule="auto"/>
              <w:ind w:firstLine="0" w:firstLineChars="0"/>
              <w:jc w:val="center"/>
              <w:textAlignment w:val="center"/>
              <w:rPr>
                <w:rFonts w:cs="仿宋_GB2312"/>
                <w:color w:val="000000"/>
                <w:sz w:val="21"/>
                <w:szCs w:val="21"/>
              </w:rPr>
            </w:pPr>
            <w:r>
              <w:rPr>
                <w:rFonts w:hint="eastAsia" w:cs="仿宋_GB2312"/>
                <w:color w:val="000000"/>
                <w:kern w:val="0"/>
                <w:sz w:val="21"/>
                <w:szCs w:val="21"/>
                <w:lang w:bidi="ar"/>
              </w:rPr>
              <w:t>骆湖片区</w:t>
            </w:r>
          </w:p>
        </w:tc>
        <w:tc>
          <w:tcPr>
            <w:tcW w:w="614" w:type="pct"/>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hint="eastAsia" w:cs="Times New Roman"/>
                <w:color w:val="000000"/>
                <w:kern w:val="0"/>
                <w:sz w:val="21"/>
                <w:szCs w:val="21"/>
                <w:lang w:bidi="ar"/>
              </w:rPr>
              <w:t>地块十三</w:t>
            </w:r>
          </w:p>
        </w:tc>
        <w:tc>
          <w:tcPr>
            <w:tcW w:w="902" w:type="pct"/>
            <w:shd w:val="clear" w:color="auto" w:fill="auto"/>
            <w:vAlign w:val="center"/>
          </w:tcPr>
          <w:p>
            <w:pPr>
              <w:widowControl/>
              <w:snapToGrid w:val="0"/>
              <w:spacing w:line="240" w:lineRule="auto"/>
              <w:ind w:firstLine="0" w:firstLineChars="0"/>
              <w:jc w:val="center"/>
              <w:textAlignment w:val="center"/>
              <w:rPr>
                <w:rFonts w:cs="Times New Roman"/>
                <w:color w:val="000000"/>
                <w:sz w:val="21"/>
                <w:szCs w:val="21"/>
              </w:rPr>
            </w:pPr>
            <w:r>
              <w:rPr>
                <w:rFonts w:eastAsia="宋体" w:cs="Times New Roman"/>
                <w:color w:val="000000"/>
                <w:kern w:val="0"/>
                <w:sz w:val="21"/>
                <w:szCs w:val="21"/>
                <w:lang w:bidi="ar"/>
              </w:rPr>
              <w:t>11.1665</w:t>
            </w:r>
          </w:p>
        </w:tc>
        <w:tc>
          <w:tcPr>
            <w:tcW w:w="1361" w:type="dxa"/>
            <w:shd w:val="clear" w:color="auto" w:fill="auto"/>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olor w:val="000000"/>
                <w:sz w:val="21"/>
                <w:szCs w:val="21"/>
              </w:rPr>
              <w:t>11.1665</w:t>
            </w:r>
          </w:p>
        </w:tc>
        <w:tc>
          <w:tcPr>
            <w:tcW w:w="932" w:type="pct"/>
            <w:shd w:val="clear" w:color="auto" w:fill="auto"/>
            <w:vAlign w:val="center"/>
          </w:tcPr>
          <w:p>
            <w:pPr>
              <w:widowControl/>
              <w:snapToGrid w:val="0"/>
              <w:spacing w:line="240" w:lineRule="auto"/>
              <w:ind w:firstLine="0" w:firstLineChars="0"/>
              <w:jc w:val="center"/>
              <w:textAlignment w:val="center"/>
              <w:rPr>
                <w:rFonts w:cs="华文细黑"/>
                <w:color w:val="000000"/>
                <w:sz w:val="21"/>
                <w:szCs w:val="21"/>
              </w:rPr>
            </w:pPr>
            <w:r>
              <w:rPr>
                <w:rFonts w:hint="eastAsia" w:cs="华文细黑"/>
                <w:color w:val="000000"/>
                <w:kern w:val="0"/>
                <w:sz w:val="21"/>
                <w:szCs w:val="21"/>
                <w:lang w:bidi="ar"/>
              </w:rPr>
              <w:t>0</w:t>
            </w:r>
          </w:p>
        </w:tc>
        <w:tc>
          <w:tcPr>
            <w:tcW w:w="966" w:type="pct"/>
            <w:shd w:val="clear" w:color="auto" w:fill="auto"/>
            <w:vAlign w:val="center"/>
          </w:tcPr>
          <w:p>
            <w:pPr>
              <w:widowControl/>
              <w:snapToGrid w:val="0"/>
              <w:spacing w:line="240" w:lineRule="auto"/>
              <w:ind w:firstLine="0" w:firstLineChars="0"/>
              <w:jc w:val="center"/>
              <w:textAlignment w:val="center"/>
              <w:rPr>
                <w:rFonts w:cs="华文细黑"/>
                <w:color w:val="000000"/>
                <w:sz w:val="21"/>
                <w:szCs w:val="21"/>
              </w:rPr>
            </w:pPr>
            <w:r>
              <w:rPr>
                <w:rFonts w:hint="eastAsia" w:cs="华文细黑"/>
                <w:color w:val="000000"/>
                <w:kern w:val="0"/>
                <w:sz w:val="21"/>
                <w:szCs w:val="21"/>
                <w:lang w:bidi="ar"/>
              </w:rPr>
              <w:t>未调整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trPr>
        <w:tc>
          <w:tcPr>
            <w:tcW w:w="819" w:type="pct"/>
            <w:vMerge w:val="continue"/>
            <w:shd w:val="clear" w:color="auto" w:fill="auto"/>
            <w:vAlign w:val="center"/>
          </w:tcPr>
          <w:p>
            <w:pPr>
              <w:widowControl/>
              <w:snapToGrid w:val="0"/>
              <w:spacing w:line="240" w:lineRule="auto"/>
              <w:ind w:firstLine="0" w:firstLineChars="0"/>
              <w:jc w:val="center"/>
              <w:textAlignment w:val="center"/>
              <w:rPr>
                <w:rFonts w:cs="仿宋_GB2312"/>
                <w:color w:val="000000"/>
                <w:kern w:val="0"/>
                <w:sz w:val="21"/>
                <w:szCs w:val="21"/>
                <w:lang w:bidi="ar"/>
              </w:rPr>
            </w:pPr>
          </w:p>
        </w:tc>
        <w:tc>
          <w:tcPr>
            <w:tcW w:w="614" w:type="pct"/>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hint="eastAsia" w:cs="Times New Roman"/>
                <w:color w:val="000000"/>
                <w:kern w:val="0"/>
                <w:sz w:val="21"/>
                <w:szCs w:val="21"/>
                <w:lang w:bidi="ar"/>
              </w:rPr>
              <w:t>地块十四</w:t>
            </w:r>
          </w:p>
        </w:tc>
        <w:tc>
          <w:tcPr>
            <w:tcW w:w="902" w:type="pct"/>
            <w:shd w:val="clear" w:color="auto" w:fill="auto"/>
            <w:vAlign w:val="center"/>
          </w:tcPr>
          <w:p>
            <w:pPr>
              <w:widowControl/>
              <w:snapToGrid w:val="0"/>
              <w:spacing w:line="240" w:lineRule="auto"/>
              <w:ind w:firstLine="0" w:firstLineChars="0"/>
              <w:jc w:val="center"/>
              <w:textAlignment w:val="center"/>
              <w:rPr>
                <w:rFonts w:eastAsia="宋体" w:cs="Times New Roman"/>
                <w:color w:val="000000"/>
                <w:kern w:val="0"/>
                <w:sz w:val="21"/>
                <w:szCs w:val="21"/>
                <w:lang w:bidi="ar"/>
              </w:rPr>
            </w:pPr>
            <w:r>
              <w:rPr>
                <w:rFonts w:eastAsia="宋体" w:cs="Times New Roman"/>
                <w:color w:val="000000"/>
                <w:kern w:val="0"/>
                <w:sz w:val="21"/>
                <w:szCs w:val="21"/>
                <w:lang w:bidi="ar"/>
              </w:rPr>
              <w:t>2.2264</w:t>
            </w:r>
          </w:p>
        </w:tc>
        <w:tc>
          <w:tcPr>
            <w:tcW w:w="1361" w:type="dxa"/>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hint="eastAsia"/>
                <w:color w:val="000000"/>
                <w:kern w:val="0"/>
                <w:sz w:val="21"/>
                <w:szCs w:val="21"/>
                <w:lang w:bidi="ar"/>
              </w:rPr>
              <w:t>2.2264</w:t>
            </w:r>
          </w:p>
        </w:tc>
        <w:tc>
          <w:tcPr>
            <w:tcW w:w="932" w:type="pct"/>
            <w:shd w:val="clear" w:color="auto" w:fill="auto"/>
            <w:vAlign w:val="center"/>
          </w:tcPr>
          <w:p>
            <w:pPr>
              <w:widowControl/>
              <w:snapToGrid w:val="0"/>
              <w:spacing w:line="240" w:lineRule="auto"/>
              <w:ind w:firstLine="0" w:firstLineChars="0"/>
              <w:jc w:val="center"/>
              <w:textAlignment w:val="center"/>
              <w:rPr>
                <w:rFonts w:cs="华文细黑"/>
                <w:color w:val="000000"/>
                <w:kern w:val="0"/>
                <w:sz w:val="21"/>
                <w:szCs w:val="21"/>
                <w:lang w:bidi="ar"/>
              </w:rPr>
            </w:pPr>
            <w:r>
              <w:rPr>
                <w:rFonts w:hint="eastAsia" w:cs="华文细黑"/>
                <w:color w:val="000000"/>
                <w:kern w:val="0"/>
                <w:sz w:val="21"/>
                <w:szCs w:val="21"/>
                <w:lang w:bidi="ar"/>
              </w:rPr>
              <w:t>0</w:t>
            </w:r>
          </w:p>
        </w:tc>
        <w:tc>
          <w:tcPr>
            <w:tcW w:w="966" w:type="pct"/>
            <w:shd w:val="clear" w:color="auto" w:fill="auto"/>
            <w:vAlign w:val="center"/>
          </w:tcPr>
          <w:p>
            <w:pPr>
              <w:widowControl/>
              <w:snapToGrid w:val="0"/>
              <w:spacing w:line="240" w:lineRule="auto"/>
              <w:ind w:firstLine="0" w:firstLineChars="0"/>
              <w:jc w:val="center"/>
              <w:textAlignment w:val="center"/>
              <w:rPr>
                <w:rFonts w:cs="华文细黑"/>
                <w:color w:val="000000"/>
                <w:kern w:val="0"/>
                <w:sz w:val="21"/>
                <w:szCs w:val="21"/>
                <w:lang w:bidi="ar"/>
              </w:rPr>
            </w:pPr>
            <w:r>
              <w:rPr>
                <w:rFonts w:hint="eastAsia" w:cs="华文细黑"/>
                <w:color w:val="000000"/>
                <w:kern w:val="0"/>
                <w:sz w:val="21"/>
                <w:szCs w:val="21"/>
                <w:lang w:bidi="ar"/>
              </w:rPr>
              <w:t>未调整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trPr>
        <w:tc>
          <w:tcPr>
            <w:tcW w:w="819" w:type="pct"/>
            <w:vMerge w:val="restart"/>
            <w:shd w:val="clear" w:color="auto" w:fill="auto"/>
            <w:vAlign w:val="center"/>
          </w:tcPr>
          <w:p>
            <w:pPr>
              <w:widowControl/>
              <w:snapToGrid w:val="0"/>
              <w:spacing w:line="240" w:lineRule="auto"/>
              <w:ind w:firstLine="0" w:firstLineChars="0"/>
              <w:jc w:val="center"/>
              <w:textAlignment w:val="center"/>
              <w:rPr>
                <w:rFonts w:cs="仿宋_GB2312"/>
                <w:color w:val="000000"/>
                <w:sz w:val="21"/>
                <w:szCs w:val="21"/>
              </w:rPr>
            </w:pPr>
            <w:r>
              <w:rPr>
                <w:rFonts w:hint="eastAsia" w:cs="仿宋_GB2312"/>
                <w:color w:val="000000"/>
                <w:kern w:val="0"/>
                <w:sz w:val="21"/>
                <w:szCs w:val="21"/>
                <w:lang w:bidi="ar"/>
              </w:rPr>
              <w:t>农高核心区片区</w:t>
            </w:r>
          </w:p>
        </w:tc>
        <w:tc>
          <w:tcPr>
            <w:tcW w:w="614" w:type="pct"/>
            <w:shd w:val="clear" w:color="auto" w:fill="auto"/>
            <w:vAlign w:val="center"/>
          </w:tcPr>
          <w:p>
            <w:pPr>
              <w:widowControl/>
              <w:snapToGrid w:val="0"/>
              <w:spacing w:line="240" w:lineRule="auto"/>
              <w:ind w:firstLine="0" w:firstLineChars="0"/>
              <w:jc w:val="center"/>
              <w:textAlignment w:val="center"/>
              <w:rPr>
                <w:rFonts w:cs="仿宋_GB2312"/>
                <w:color w:val="000000"/>
                <w:kern w:val="0"/>
                <w:sz w:val="21"/>
                <w:szCs w:val="21"/>
                <w:lang w:bidi="ar"/>
              </w:rPr>
            </w:pPr>
            <w:r>
              <w:rPr>
                <w:rFonts w:hint="eastAsia" w:cs="仿宋_GB2312"/>
                <w:color w:val="000000"/>
                <w:kern w:val="0"/>
                <w:sz w:val="21"/>
                <w:szCs w:val="21"/>
                <w:lang w:bidi="ar"/>
              </w:rPr>
              <w:t>地块十五</w:t>
            </w:r>
          </w:p>
        </w:tc>
        <w:tc>
          <w:tcPr>
            <w:tcW w:w="902" w:type="pct"/>
            <w:shd w:val="clear" w:color="auto" w:fill="auto"/>
            <w:vAlign w:val="center"/>
          </w:tcPr>
          <w:p>
            <w:pPr>
              <w:widowControl/>
              <w:snapToGrid w:val="0"/>
              <w:spacing w:line="240" w:lineRule="auto"/>
              <w:ind w:firstLine="0" w:firstLineChars="0"/>
              <w:jc w:val="center"/>
              <w:textAlignment w:val="center"/>
              <w:rPr>
                <w:rFonts w:cs="仿宋_GB2312"/>
                <w:color w:val="000000"/>
                <w:sz w:val="21"/>
                <w:szCs w:val="21"/>
              </w:rPr>
            </w:pPr>
            <w:r>
              <w:rPr>
                <w:rFonts w:eastAsia="宋体" w:cs="Times New Roman"/>
                <w:color w:val="000000"/>
                <w:kern w:val="0"/>
                <w:sz w:val="21"/>
                <w:szCs w:val="21"/>
                <w:lang w:bidi="ar"/>
              </w:rPr>
              <w:t>1.4299</w:t>
            </w:r>
          </w:p>
        </w:tc>
        <w:tc>
          <w:tcPr>
            <w:tcW w:w="1361" w:type="dxa"/>
            <w:shd w:val="clear" w:color="auto" w:fill="auto"/>
            <w:noWrap/>
            <w:vAlign w:val="center"/>
          </w:tcPr>
          <w:p>
            <w:pPr>
              <w:widowControl/>
              <w:snapToGrid w:val="0"/>
              <w:spacing w:line="240" w:lineRule="auto"/>
              <w:ind w:firstLine="0" w:firstLineChars="0"/>
              <w:jc w:val="center"/>
              <w:rPr>
                <w:rFonts w:cs="宋体"/>
                <w:color w:val="000000"/>
                <w:sz w:val="21"/>
                <w:szCs w:val="21"/>
              </w:rPr>
            </w:pPr>
            <w:r>
              <w:rPr>
                <w:rFonts w:hint="eastAsia" w:cs="宋体"/>
                <w:color w:val="000000"/>
                <w:sz w:val="21"/>
                <w:szCs w:val="21"/>
              </w:rPr>
              <w:t>0</w:t>
            </w:r>
          </w:p>
        </w:tc>
        <w:tc>
          <w:tcPr>
            <w:tcW w:w="932" w:type="pct"/>
            <w:shd w:val="clear" w:color="auto" w:fill="auto"/>
            <w:noWrap/>
            <w:vAlign w:val="center"/>
          </w:tcPr>
          <w:p>
            <w:pPr>
              <w:widowControl/>
              <w:snapToGrid w:val="0"/>
              <w:spacing w:line="240" w:lineRule="auto"/>
              <w:ind w:firstLine="0" w:firstLineChars="0"/>
              <w:jc w:val="center"/>
              <w:textAlignment w:val="center"/>
              <w:rPr>
                <w:rFonts w:cs="宋体"/>
                <w:color w:val="000000"/>
                <w:sz w:val="21"/>
                <w:szCs w:val="21"/>
              </w:rPr>
            </w:pPr>
            <w:r>
              <w:rPr>
                <w:rFonts w:hint="eastAsia" w:cs="宋体"/>
                <w:color w:val="000000"/>
                <w:sz w:val="21"/>
                <w:szCs w:val="21"/>
              </w:rPr>
              <w:t>-1.4299</w:t>
            </w:r>
          </w:p>
        </w:tc>
        <w:tc>
          <w:tcPr>
            <w:tcW w:w="966" w:type="pct"/>
            <w:shd w:val="clear" w:color="auto" w:fill="auto"/>
            <w:vAlign w:val="center"/>
          </w:tcPr>
          <w:p>
            <w:pPr>
              <w:widowControl/>
              <w:snapToGrid w:val="0"/>
              <w:spacing w:line="240" w:lineRule="auto"/>
              <w:ind w:firstLine="0" w:firstLineChars="0"/>
              <w:jc w:val="center"/>
              <w:textAlignment w:val="center"/>
              <w:rPr>
                <w:rFonts w:cs="宋体"/>
                <w:color w:val="000000"/>
                <w:sz w:val="21"/>
                <w:szCs w:val="21"/>
              </w:rPr>
            </w:pPr>
            <w:r>
              <w:rPr>
                <w:rFonts w:hint="eastAsia" w:cs="宋体"/>
                <w:color w:val="000000"/>
                <w:sz w:val="21"/>
                <w:szCs w:val="21"/>
              </w:rPr>
              <w:t>河源市灯塔盆地农高区核心区（首期、二期）项目范围减小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trPr>
        <w:tc>
          <w:tcPr>
            <w:tcW w:w="819" w:type="pct"/>
            <w:vMerge w:val="continue"/>
            <w:shd w:val="clear" w:color="auto" w:fill="auto"/>
            <w:vAlign w:val="center"/>
          </w:tcPr>
          <w:p>
            <w:pPr>
              <w:widowControl/>
              <w:snapToGrid w:val="0"/>
              <w:spacing w:line="240" w:lineRule="auto"/>
              <w:ind w:firstLine="0" w:firstLineChars="0"/>
              <w:jc w:val="center"/>
              <w:textAlignment w:val="center"/>
              <w:rPr>
                <w:rFonts w:cs="仿宋_GB2312"/>
                <w:color w:val="000000"/>
                <w:kern w:val="0"/>
                <w:sz w:val="21"/>
                <w:szCs w:val="21"/>
                <w:lang w:bidi="ar"/>
              </w:rPr>
            </w:pPr>
          </w:p>
        </w:tc>
        <w:tc>
          <w:tcPr>
            <w:tcW w:w="614" w:type="pct"/>
            <w:shd w:val="clear" w:color="auto" w:fill="auto"/>
            <w:vAlign w:val="center"/>
          </w:tcPr>
          <w:p>
            <w:pPr>
              <w:widowControl/>
              <w:snapToGrid w:val="0"/>
              <w:spacing w:line="240" w:lineRule="auto"/>
              <w:ind w:firstLine="0" w:firstLineChars="0"/>
              <w:jc w:val="center"/>
              <w:textAlignment w:val="center"/>
              <w:rPr>
                <w:rFonts w:cs="仿宋_GB2312"/>
                <w:color w:val="000000"/>
                <w:kern w:val="0"/>
                <w:sz w:val="21"/>
                <w:szCs w:val="21"/>
                <w:lang w:bidi="ar"/>
              </w:rPr>
            </w:pPr>
            <w:r>
              <w:rPr>
                <w:rFonts w:hint="eastAsia" w:cs="仿宋_GB2312"/>
                <w:color w:val="000000"/>
                <w:kern w:val="0"/>
                <w:sz w:val="21"/>
                <w:szCs w:val="21"/>
                <w:lang w:bidi="ar"/>
              </w:rPr>
              <w:t>地块十六</w:t>
            </w:r>
          </w:p>
        </w:tc>
        <w:tc>
          <w:tcPr>
            <w:tcW w:w="902" w:type="pct"/>
            <w:shd w:val="clear" w:color="auto" w:fill="auto"/>
            <w:vAlign w:val="center"/>
          </w:tcPr>
          <w:p>
            <w:pPr>
              <w:widowControl/>
              <w:snapToGrid w:val="0"/>
              <w:spacing w:line="240" w:lineRule="auto"/>
              <w:ind w:firstLine="0" w:firstLineChars="0"/>
              <w:jc w:val="center"/>
              <w:textAlignment w:val="center"/>
              <w:rPr>
                <w:rFonts w:cs="仿宋_GB2312"/>
                <w:color w:val="000000"/>
                <w:kern w:val="0"/>
                <w:sz w:val="21"/>
                <w:szCs w:val="21"/>
                <w:lang w:bidi="ar"/>
              </w:rPr>
            </w:pPr>
            <w:r>
              <w:rPr>
                <w:rFonts w:eastAsia="宋体" w:cs="Times New Roman"/>
                <w:color w:val="000000"/>
                <w:kern w:val="0"/>
                <w:sz w:val="21"/>
                <w:szCs w:val="21"/>
                <w:lang w:bidi="ar"/>
              </w:rPr>
              <w:t>65.6515</w:t>
            </w:r>
          </w:p>
        </w:tc>
        <w:tc>
          <w:tcPr>
            <w:tcW w:w="1361" w:type="dxa"/>
            <w:shd w:val="clear" w:color="auto" w:fill="auto"/>
            <w:noWrap/>
            <w:vAlign w:val="center"/>
          </w:tcPr>
          <w:p>
            <w:pPr>
              <w:widowControl/>
              <w:snapToGrid w:val="0"/>
              <w:spacing w:line="240" w:lineRule="auto"/>
              <w:ind w:firstLine="0" w:firstLineChars="0"/>
              <w:jc w:val="center"/>
              <w:rPr>
                <w:rFonts w:cs="宋体"/>
                <w:color w:val="000000"/>
                <w:kern w:val="0"/>
                <w:sz w:val="21"/>
                <w:szCs w:val="21"/>
                <w:lang w:bidi="ar"/>
              </w:rPr>
            </w:pPr>
            <w:r>
              <w:rPr>
                <w:rFonts w:hint="eastAsia" w:cs="宋体"/>
                <w:color w:val="000000"/>
                <w:kern w:val="0"/>
                <w:sz w:val="21"/>
                <w:szCs w:val="21"/>
                <w:lang w:bidi="ar"/>
              </w:rPr>
              <w:t>28.3171</w:t>
            </w:r>
          </w:p>
        </w:tc>
        <w:tc>
          <w:tcPr>
            <w:tcW w:w="932" w:type="pct"/>
            <w:shd w:val="clear" w:color="auto" w:fill="auto"/>
            <w:noWrap/>
            <w:vAlign w:val="center"/>
          </w:tcPr>
          <w:p>
            <w:pPr>
              <w:widowControl/>
              <w:snapToGrid w:val="0"/>
              <w:spacing w:line="240" w:lineRule="auto"/>
              <w:ind w:firstLine="0" w:firstLineChars="0"/>
              <w:jc w:val="center"/>
              <w:textAlignment w:val="center"/>
              <w:rPr>
                <w:rFonts w:cs="宋体"/>
                <w:color w:val="000000"/>
                <w:kern w:val="0"/>
                <w:sz w:val="21"/>
                <w:szCs w:val="21"/>
                <w:lang w:bidi="ar"/>
              </w:rPr>
            </w:pPr>
            <w:r>
              <w:rPr>
                <w:rFonts w:hint="eastAsia" w:cs="宋体"/>
                <w:color w:val="000000"/>
                <w:kern w:val="0"/>
                <w:sz w:val="21"/>
                <w:szCs w:val="21"/>
                <w:lang w:bidi="ar"/>
              </w:rPr>
              <w:t>-37.3344</w:t>
            </w:r>
          </w:p>
        </w:tc>
        <w:tc>
          <w:tcPr>
            <w:tcW w:w="966" w:type="pct"/>
            <w:shd w:val="clear" w:color="auto" w:fill="auto"/>
            <w:vAlign w:val="center"/>
          </w:tcPr>
          <w:p>
            <w:pPr>
              <w:widowControl/>
              <w:snapToGrid w:val="0"/>
              <w:spacing w:line="240" w:lineRule="auto"/>
              <w:ind w:firstLine="0" w:firstLineChars="0"/>
              <w:jc w:val="center"/>
              <w:textAlignment w:val="center"/>
              <w:rPr>
                <w:rFonts w:cs="宋体"/>
                <w:color w:val="000000"/>
                <w:kern w:val="0"/>
                <w:sz w:val="21"/>
                <w:szCs w:val="21"/>
                <w:lang w:bidi="ar"/>
              </w:rPr>
            </w:pPr>
            <w:r>
              <w:rPr>
                <w:rFonts w:hint="eastAsia" w:cs="宋体"/>
                <w:color w:val="000000"/>
                <w:kern w:val="0"/>
                <w:sz w:val="21"/>
                <w:szCs w:val="21"/>
                <w:lang w:bidi="ar"/>
              </w:rPr>
              <w:t>河源市灯塔盆地农高区核心区（首期、二期）项目范围减小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trPr>
        <w:tc>
          <w:tcPr>
            <w:tcW w:w="819" w:type="pct"/>
            <w:vMerge w:val="continue"/>
            <w:shd w:val="clear" w:color="auto" w:fill="auto"/>
            <w:vAlign w:val="center"/>
          </w:tcPr>
          <w:p>
            <w:pPr>
              <w:widowControl/>
              <w:snapToGrid w:val="0"/>
              <w:spacing w:line="240" w:lineRule="auto"/>
              <w:ind w:firstLine="0" w:firstLineChars="0"/>
              <w:jc w:val="center"/>
              <w:textAlignment w:val="center"/>
              <w:rPr>
                <w:rFonts w:cs="仿宋_GB2312"/>
                <w:color w:val="000000"/>
                <w:kern w:val="0"/>
                <w:sz w:val="21"/>
                <w:szCs w:val="21"/>
                <w:lang w:bidi="ar"/>
              </w:rPr>
            </w:pPr>
          </w:p>
        </w:tc>
        <w:tc>
          <w:tcPr>
            <w:tcW w:w="614" w:type="pct"/>
            <w:shd w:val="clear" w:color="auto" w:fill="auto"/>
            <w:vAlign w:val="center"/>
          </w:tcPr>
          <w:p>
            <w:pPr>
              <w:widowControl/>
              <w:snapToGrid w:val="0"/>
              <w:spacing w:line="240" w:lineRule="auto"/>
              <w:ind w:firstLine="0" w:firstLineChars="0"/>
              <w:jc w:val="center"/>
              <w:textAlignment w:val="center"/>
              <w:rPr>
                <w:rFonts w:cs="仿宋_GB2312"/>
                <w:color w:val="000000"/>
                <w:kern w:val="0"/>
                <w:sz w:val="21"/>
                <w:szCs w:val="21"/>
                <w:lang w:bidi="ar"/>
              </w:rPr>
            </w:pPr>
            <w:r>
              <w:rPr>
                <w:rFonts w:hint="eastAsia" w:cs="仿宋_GB2312"/>
                <w:color w:val="000000"/>
                <w:kern w:val="0"/>
                <w:sz w:val="21"/>
                <w:szCs w:val="21"/>
                <w:lang w:bidi="ar"/>
              </w:rPr>
              <w:t>地块十七</w:t>
            </w:r>
          </w:p>
        </w:tc>
        <w:tc>
          <w:tcPr>
            <w:tcW w:w="902" w:type="pct"/>
            <w:shd w:val="clear" w:color="auto" w:fill="auto"/>
            <w:vAlign w:val="center"/>
          </w:tcPr>
          <w:p>
            <w:pPr>
              <w:widowControl/>
              <w:snapToGrid w:val="0"/>
              <w:spacing w:line="240" w:lineRule="auto"/>
              <w:ind w:firstLine="0" w:firstLineChars="0"/>
              <w:jc w:val="center"/>
              <w:textAlignment w:val="center"/>
              <w:rPr>
                <w:rFonts w:cs="仿宋_GB2312"/>
                <w:color w:val="000000"/>
                <w:kern w:val="0"/>
                <w:sz w:val="21"/>
                <w:szCs w:val="21"/>
                <w:lang w:bidi="ar"/>
              </w:rPr>
            </w:pPr>
            <w:r>
              <w:rPr>
                <w:rFonts w:eastAsia="宋体" w:cs="Times New Roman"/>
                <w:color w:val="000000"/>
                <w:kern w:val="0"/>
                <w:sz w:val="21"/>
                <w:szCs w:val="21"/>
                <w:lang w:bidi="ar"/>
              </w:rPr>
              <w:t>5.582</w:t>
            </w:r>
            <w:r>
              <w:rPr>
                <w:rFonts w:hint="eastAsia" w:eastAsia="宋体" w:cs="Times New Roman"/>
                <w:color w:val="000000"/>
                <w:kern w:val="0"/>
                <w:sz w:val="21"/>
                <w:szCs w:val="21"/>
                <w:lang w:bidi="ar"/>
              </w:rPr>
              <w:t>0</w:t>
            </w:r>
          </w:p>
        </w:tc>
        <w:tc>
          <w:tcPr>
            <w:tcW w:w="1361" w:type="dxa"/>
            <w:shd w:val="clear" w:color="auto" w:fill="auto"/>
            <w:noWrap/>
            <w:vAlign w:val="center"/>
          </w:tcPr>
          <w:p>
            <w:pPr>
              <w:widowControl/>
              <w:snapToGrid w:val="0"/>
              <w:spacing w:line="240" w:lineRule="auto"/>
              <w:ind w:firstLine="0" w:firstLineChars="0"/>
              <w:jc w:val="center"/>
              <w:rPr>
                <w:rFonts w:hint="eastAsia" w:eastAsia="仿宋_GB2312" w:cs="宋体"/>
                <w:color w:val="000000"/>
                <w:kern w:val="0"/>
                <w:sz w:val="21"/>
                <w:szCs w:val="21"/>
                <w:lang w:val="en-US" w:eastAsia="zh-CN" w:bidi="ar"/>
              </w:rPr>
            </w:pPr>
            <w:r>
              <w:rPr>
                <w:rFonts w:hint="eastAsia" w:cs="宋体"/>
                <w:color w:val="000000"/>
                <w:sz w:val="21"/>
                <w:szCs w:val="21"/>
                <w:highlight w:val="none"/>
              </w:rPr>
              <w:t>5.582</w:t>
            </w:r>
            <w:r>
              <w:rPr>
                <w:rFonts w:hint="eastAsia" w:cs="宋体"/>
                <w:color w:val="000000"/>
                <w:sz w:val="21"/>
                <w:szCs w:val="21"/>
                <w:highlight w:val="none"/>
                <w:lang w:val="en-US" w:eastAsia="zh-CN"/>
              </w:rPr>
              <w:t>0</w:t>
            </w:r>
          </w:p>
        </w:tc>
        <w:tc>
          <w:tcPr>
            <w:tcW w:w="932" w:type="pct"/>
            <w:shd w:val="clear" w:color="auto" w:fill="auto"/>
            <w:noWrap/>
            <w:vAlign w:val="center"/>
          </w:tcPr>
          <w:p>
            <w:pPr>
              <w:widowControl/>
              <w:snapToGrid w:val="0"/>
              <w:spacing w:line="240" w:lineRule="auto"/>
              <w:ind w:firstLine="0" w:firstLineChars="0"/>
              <w:jc w:val="center"/>
              <w:textAlignment w:val="center"/>
              <w:rPr>
                <w:rFonts w:hint="default" w:eastAsia="仿宋_GB2312" w:cs="宋体"/>
                <w:color w:val="000000"/>
                <w:kern w:val="0"/>
                <w:sz w:val="21"/>
                <w:szCs w:val="21"/>
                <w:lang w:val="en-US" w:eastAsia="zh-CN" w:bidi="ar"/>
              </w:rPr>
            </w:pPr>
            <w:r>
              <w:rPr>
                <w:rFonts w:hint="eastAsia" w:cs="宋体"/>
                <w:color w:val="000000"/>
                <w:kern w:val="0"/>
                <w:sz w:val="21"/>
                <w:szCs w:val="21"/>
                <w:lang w:bidi="ar"/>
              </w:rPr>
              <w:t>0</w:t>
            </w:r>
          </w:p>
        </w:tc>
        <w:tc>
          <w:tcPr>
            <w:tcW w:w="966" w:type="pct"/>
            <w:shd w:val="clear" w:color="auto" w:fill="auto"/>
            <w:vAlign w:val="center"/>
          </w:tcPr>
          <w:p>
            <w:pPr>
              <w:widowControl/>
              <w:snapToGrid w:val="0"/>
              <w:spacing w:line="240" w:lineRule="auto"/>
              <w:ind w:firstLine="0" w:firstLineChars="0"/>
              <w:jc w:val="center"/>
              <w:textAlignment w:val="center"/>
              <w:rPr>
                <w:rFonts w:hint="eastAsia" w:eastAsia="仿宋_GB2312" w:cs="宋体"/>
                <w:color w:val="000000"/>
                <w:kern w:val="0"/>
                <w:sz w:val="21"/>
                <w:szCs w:val="21"/>
                <w:lang w:val="en-US" w:eastAsia="zh-CN" w:bidi="ar"/>
              </w:rPr>
            </w:pPr>
            <w:r>
              <w:rPr>
                <w:rFonts w:hint="eastAsia" w:cs="宋体"/>
                <w:color w:val="000000"/>
                <w:kern w:val="0"/>
                <w:sz w:val="21"/>
                <w:szCs w:val="21"/>
                <w:lang w:val="en-US" w:eastAsia="zh-CN" w:bidi="ar"/>
              </w:rPr>
              <w:t>未调整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trPr>
        <w:tc>
          <w:tcPr>
            <w:tcW w:w="819" w:type="pct"/>
            <w:shd w:val="clear" w:color="auto" w:fill="auto"/>
            <w:vAlign w:val="center"/>
          </w:tcPr>
          <w:p>
            <w:pPr>
              <w:widowControl/>
              <w:snapToGrid w:val="0"/>
              <w:spacing w:line="240" w:lineRule="auto"/>
              <w:ind w:firstLine="0" w:firstLineChars="0"/>
              <w:jc w:val="center"/>
              <w:textAlignment w:val="center"/>
              <w:rPr>
                <w:rFonts w:cs="仿宋_GB2312"/>
                <w:color w:val="000000"/>
                <w:kern w:val="0"/>
                <w:sz w:val="21"/>
                <w:szCs w:val="21"/>
                <w:lang w:bidi="ar"/>
              </w:rPr>
            </w:pPr>
            <w:r>
              <w:rPr>
                <w:rFonts w:hint="eastAsia" w:cs="仿宋_GB2312"/>
                <w:color w:val="000000"/>
                <w:kern w:val="0"/>
                <w:sz w:val="21"/>
                <w:szCs w:val="21"/>
                <w:lang w:bidi="ar"/>
              </w:rPr>
              <w:t>船塘片区</w:t>
            </w:r>
          </w:p>
        </w:tc>
        <w:tc>
          <w:tcPr>
            <w:tcW w:w="614" w:type="pct"/>
            <w:shd w:val="clear" w:color="auto" w:fill="auto"/>
            <w:vAlign w:val="center"/>
          </w:tcPr>
          <w:p>
            <w:pPr>
              <w:widowControl/>
              <w:snapToGrid w:val="0"/>
              <w:spacing w:line="240" w:lineRule="auto"/>
              <w:ind w:firstLine="0" w:firstLineChars="0"/>
              <w:jc w:val="center"/>
              <w:textAlignment w:val="center"/>
              <w:rPr>
                <w:rFonts w:cs="仿宋_GB2312"/>
                <w:color w:val="000000"/>
                <w:kern w:val="0"/>
                <w:sz w:val="21"/>
                <w:szCs w:val="21"/>
                <w:lang w:bidi="ar"/>
              </w:rPr>
            </w:pPr>
            <w:r>
              <w:rPr>
                <w:rFonts w:hint="eastAsia" w:cs="仿宋_GB2312"/>
                <w:color w:val="000000"/>
                <w:kern w:val="0"/>
                <w:sz w:val="21"/>
                <w:szCs w:val="21"/>
                <w:lang w:bidi="ar"/>
              </w:rPr>
              <w:t>地块十八</w:t>
            </w:r>
          </w:p>
        </w:tc>
        <w:tc>
          <w:tcPr>
            <w:tcW w:w="902" w:type="pct"/>
            <w:shd w:val="clear" w:color="auto" w:fill="auto"/>
            <w:vAlign w:val="center"/>
          </w:tcPr>
          <w:p>
            <w:pPr>
              <w:widowControl/>
              <w:snapToGrid w:val="0"/>
              <w:spacing w:line="240" w:lineRule="auto"/>
              <w:ind w:firstLine="0" w:firstLineChars="0"/>
              <w:jc w:val="center"/>
              <w:textAlignment w:val="center"/>
              <w:rPr>
                <w:rFonts w:eastAsia="宋体" w:cs="仿宋_GB2312"/>
                <w:color w:val="000000"/>
                <w:kern w:val="0"/>
                <w:sz w:val="21"/>
                <w:szCs w:val="21"/>
                <w:lang w:bidi="ar"/>
              </w:rPr>
            </w:pPr>
            <w:r>
              <w:rPr>
                <w:rFonts w:eastAsia="宋体" w:cs="Times New Roman"/>
                <w:color w:val="000000"/>
                <w:kern w:val="0"/>
                <w:sz w:val="21"/>
                <w:szCs w:val="21"/>
                <w:lang w:bidi="ar"/>
              </w:rPr>
              <w:t>0.5746</w:t>
            </w:r>
          </w:p>
        </w:tc>
        <w:tc>
          <w:tcPr>
            <w:tcW w:w="1361" w:type="dxa"/>
            <w:shd w:val="clear" w:color="auto" w:fill="auto"/>
            <w:noWrap/>
            <w:vAlign w:val="center"/>
          </w:tcPr>
          <w:p>
            <w:pPr>
              <w:widowControl/>
              <w:snapToGrid w:val="0"/>
              <w:spacing w:line="240" w:lineRule="auto"/>
              <w:ind w:firstLine="0" w:firstLineChars="0"/>
              <w:jc w:val="center"/>
              <w:rPr>
                <w:rFonts w:cs="宋体"/>
                <w:color w:val="000000"/>
                <w:kern w:val="0"/>
                <w:sz w:val="21"/>
                <w:szCs w:val="21"/>
                <w:lang w:bidi="ar"/>
              </w:rPr>
            </w:pPr>
            <w:r>
              <w:rPr>
                <w:rFonts w:hint="eastAsia" w:cs="宋体"/>
                <w:color w:val="000000"/>
                <w:sz w:val="21"/>
                <w:szCs w:val="21"/>
              </w:rPr>
              <w:t>0.5745</w:t>
            </w:r>
          </w:p>
        </w:tc>
        <w:tc>
          <w:tcPr>
            <w:tcW w:w="932" w:type="pct"/>
            <w:shd w:val="clear" w:color="auto" w:fill="auto"/>
            <w:noWrap/>
            <w:vAlign w:val="center"/>
          </w:tcPr>
          <w:p>
            <w:pPr>
              <w:widowControl/>
              <w:snapToGrid w:val="0"/>
              <w:spacing w:line="240" w:lineRule="auto"/>
              <w:ind w:firstLine="0" w:firstLineChars="0"/>
              <w:jc w:val="center"/>
              <w:textAlignment w:val="center"/>
              <w:rPr>
                <w:rFonts w:cs="宋体"/>
                <w:color w:val="000000"/>
                <w:kern w:val="0"/>
                <w:sz w:val="21"/>
                <w:szCs w:val="21"/>
                <w:lang w:bidi="ar"/>
              </w:rPr>
            </w:pPr>
            <w:r>
              <w:rPr>
                <w:rFonts w:hint="eastAsia" w:cs="宋体"/>
                <w:color w:val="000000"/>
                <w:kern w:val="0"/>
                <w:sz w:val="21"/>
                <w:szCs w:val="21"/>
                <w:lang w:bidi="ar"/>
              </w:rPr>
              <w:t>-0.0001</w:t>
            </w:r>
          </w:p>
        </w:tc>
        <w:tc>
          <w:tcPr>
            <w:tcW w:w="966" w:type="pct"/>
            <w:shd w:val="clear" w:color="auto" w:fill="auto"/>
            <w:vAlign w:val="center"/>
          </w:tcPr>
          <w:p>
            <w:pPr>
              <w:widowControl/>
              <w:snapToGrid w:val="0"/>
              <w:spacing w:line="240" w:lineRule="auto"/>
              <w:ind w:firstLine="0" w:firstLineChars="0"/>
              <w:jc w:val="center"/>
              <w:textAlignment w:val="center"/>
              <w:rPr>
                <w:rFonts w:cs="宋体"/>
                <w:color w:val="000000"/>
                <w:kern w:val="0"/>
                <w:sz w:val="21"/>
                <w:szCs w:val="21"/>
                <w:lang w:bidi="ar"/>
              </w:rPr>
            </w:pPr>
            <w:r>
              <w:rPr>
                <w:rFonts w:hint="eastAsia" w:cs="宋体"/>
                <w:color w:val="000000"/>
                <w:kern w:val="0"/>
                <w:sz w:val="21"/>
                <w:szCs w:val="21"/>
                <w:lang w:bidi="ar"/>
              </w:rPr>
              <w:t>未调整，省厅压占系统面积平差导致差异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trPr>
        <w:tc>
          <w:tcPr>
            <w:tcW w:w="819" w:type="pct"/>
            <w:shd w:val="clear" w:color="auto" w:fill="auto"/>
            <w:vAlign w:val="center"/>
          </w:tcPr>
          <w:p>
            <w:pPr>
              <w:widowControl/>
              <w:snapToGrid w:val="0"/>
              <w:spacing w:line="240" w:lineRule="auto"/>
              <w:ind w:firstLine="0" w:firstLineChars="0"/>
              <w:jc w:val="center"/>
              <w:textAlignment w:val="center"/>
              <w:rPr>
                <w:rFonts w:cs="仿宋_GB2312"/>
                <w:color w:val="000000"/>
                <w:kern w:val="0"/>
                <w:sz w:val="21"/>
                <w:szCs w:val="21"/>
                <w:lang w:bidi="ar"/>
              </w:rPr>
            </w:pPr>
            <w:r>
              <w:rPr>
                <w:rFonts w:hint="eastAsia" w:cs="仿宋_GB2312"/>
                <w:color w:val="000000"/>
                <w:kern w:val="0"/>
                <w:sz w:val="21"/>
                <w:szCs w:val="21"/>
                <w:lang w:bidi="ar"/>
              </w:rPr>
              <w:t>锡场片区</w:t>
            </w:r>
          </w:p>
        </w:tc>
        <w:tc>
          <w:tcPr>
            <w:tcW w:w="614" w:type="pct"/>
            <w:shd w:val="clear" w:color="auto" w:fill="auto"/>
            <w:vAlign w:val="center"/>
          </w:tcPr>
          <w:p>
            <w:pPr>
              <w:widowControl/>
              <w:snapToGrid w:val="0"/>
              <w:spacing w:line="240" w:lineRule="auto"/>
              <w:ind w:firstLine="0" w:firstLineChars="0"/>
              <w:jc w:val="center"/>
              <w:textAlignment w:val="center"/>
              <w:rPr>
                <w:rFonts w:cs="仿宋_GB2312"/>
                <w:color w:val="000000"/>
                <w:kern w:val="0"/>
                <w:sz w:val="21"/>
                <w:szCs w:val="21"/>
                <w:lang w:bidi="ar"/>
              </w:rPr>
            </w:pPr>
            <w:r>
              <w:rPr>
                <w:rFonts w:hint="eastAsia" w:cs="仿宋_GB2312"/>
                <w:color w:val="000000"/>
                <w:kern w:val="0"/>
                <w:sz w:val="21"/>
                <w:szCs w:val="21"/>
                <w:lang w:bidi="ar"/>
              </w:rPr>
              <w:t>地块十九</w:t>
            </w:r>
          </w:p>
        </w:tc>
        <w:tc>
          <w:tcPr>
            <w:tcW w:w="902" w:type="pct"/>
            <w:shd w:val="clear" w:color="auto" w:fill="auto"/>
            <w:vAlign w:val="center"/>
          </w:tcPr>
          <w:p>
            <w:pPr>
              <w:widowControl/>
              <w:snapToGrid w:val="0"/>
              <w:spacing w:line="240" w:lineRule="auto"/>
              <w:ind w:firstLine="0" w:firstLineChars="0"/>
              <w:jc w:val="center"/>
              <w:textAlignment w:val="center"/>
              <w:rPr>
                <w:rFonts w:cs="仿宋_GB2312"/>
                <w:color w:val="000000"/>
                <w:kern w:val="0"/>
                <w:sz w:val="21"/>
                <w:szCs w:val="21"/>
                <w:lang w:bidi="ar"/>
              </w:rPr>
            </w:pPr>
            <w:r>
              <w:rPr>
                <w:rFonts w:eastAsia="宋体" w:cs="Times New Roman"/>
                <w:color w:val="000000"/>
                <w:kern w:val="0"/>
                <w:sz w:val="21"/>
                <w:szCs w:val="21"/>
                <w:lang w:bidi="ar"/>
              </w:rPr>
              <w:t>0.1688</w:t>
            </w:r>
          </w:p>
        </w:tc>
        <w:tc>
          <w:tcPr>
            <w:tcW w:w="1361" w:type="dxa"/>
            <w:shd w:val="clear" w:color="auto" w:fill="auto"/>
            <w:noWrap/>
            <w:vAlign w:val="center"/>
          </w:tcPr>
          <w:p>
            <w:pPr>
              <w:widowControl/>
              <w:snapToGrid w:val="0"/>
              <w:spacing w:line="240" w:lineRule="auto"/>
              <w:ind w:firstLine="0" w:firstLineChars="0"/>
              <w:jc w:val="center"/>
              <w:rPr>
                <w:rFonts w:cs="宋体"/>
                <w:color w:val="000000"/>
                <w:kern w:val="0"/>
                <w:sz w:val="21"/>
                <w:szCs w:val="21"/>
                <w:lang w:bidi="ar"/>
              </w:rPr>
            </w:pPr>
            <w:r>
              <w:rPr>
                <w:rFonts w:hint="eastAsia" w:cs="宋体"/>
                <w:color w:val="000000"/>
                <w:sz w:val="21"/>
                <w:szCs w:val="21"/>
              </w:rPr>
              <w:t>0.1688</w:t>
            </w:r>
          </w:p>
        </w:tc>
        <w:tc>
          <w:tcPr>
            <w:tcW w:w="932" w:type="pct"/>
            <w:shd w:val="clear" w:color="auto" w:fill="auto"/>
            <w:noWrap/>
            <w:vAlign w:val="center"/>
          </w:tcPr>
          <w:p>
            <w:pPr>
              <w:widowControl/>
              <w:snapToGrid w:val="0"/>
              <w:spacing w:line="240" w:lineRule="auto"/>
              <w:ind w:firstLine="0" w:firstLineChars="0"/>
              <w:jc w:val="center"/>
              <w:textAlignment w:val="center"/>
              <w:rPr>
                <w:rFonts w:cs="宋体"/>
                <w:color w:val="000000"/>
                <w:kern w:val="0"/>
                <w:sz w:val="21"/>
                <w:szCs w:val="21"/>
                <w:lang w:bidi="ar"/>
              </w:rPr>
            </w:pPr>
            <w:r>
              <w:rPr>
                <w:rFonts w:hint="eastAsia" w:cs="宋体"/>
                <w:color w:val="000000"/>
                <w:kern w:val="0"/>
                <w:sz w:val="21"/>
                <w:szCs w:val="21"/>
                <w:lang w:bidi="ar"/>
              </w:rPr>
              <w:t>0</w:t>
            </w:r>
          </w:p>
        </w:tc>
        <w:tc>
          <w:tcPr>
            <w:tcW w:w="966" w:type="pct"/>
            <w:shd w:val="clear" w:color="auto" w:fill="auto"/>
            <w:vAlign w:val="center"/>
          </w:tcPr>
          <w:p>
            <w:pPr>
              <w:widowControl/>
              <w:snapToGrid w:val="0"/>
              <w:spacing w:line="240" w:lineRule="auto"/>
              <w:ind w:firstLine="0" w:firstLineChars="0"/>
              <w:jc w:val="center"/>
              <w:textAlignment w:val="center"/>
              <w:rPr>
                <w:rFonts w:cs="宋体"/>
                <w:color w:val="000000"/>
                <w:kern w:val="0"/>
                <w:sz w:val="21"/>
                <w:szCs w:val="21"/>
                <w:lang w:bidi="ar"/>
              </w:rPr>
            </w:pPr>
            <w:r>
              <w:rPr>
                <w:rFonts w:hint="eastAsia" w:cs="宋体"/>
                <w:color w:val="000000"/>
                <w:kern w:val="0"/>
                <w:sz w:val="21"/>
                <w:szCs w:val="21"/>
                <w:lang w:bidi="ar"/>
              </w:rPr>
              <w:t>未调整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trPr>
        <w:tc>
          <w:tcPr>
            <w:tcW w:w="819" w:type="pct"/>
            <w:shd w:val="clear" w:color="auto" w:fill="auto"/>
            <w:vAlign w:val="center"/>
          </w:tcPr>
          <w:p>
            <w:pPr>
              <w:widowControl/>
              <w:snapToGrid w:val="0"/>
              <w:spacing w:line="240" w:lineRule="auto"/>
              <w:ind w:firstLine="0" w:firstLineChars="0"/>
              <w:jc w:val="center"/>
              <w:textAlignment w:val="center"/>
              <w:rPr>
                <w:rFonts w:cs="仿宋_GB2312"/>
                <w:color w:val="000000"/>
                <w:kern w:val="0"/>
                <w:sz w:val="21"/>
                <w:szCs w:val="21"/>
                <w:lang w:bidi="ar"/>
              </w:rPr>
            </w:pPr>
            <w:r>
              <w:rPr>
                <w:rFonts w:hint="eastAsia" w:cs="仿宋_GB2312"/>
                <w:color w:val="000000"/>
                <w:kern w:val="0"/>
                <w:sz w:val="21"/>
                <w:szCs w:val="21"/>
                <w:lang w:bidi="ar"/>
              </w:rPr>
              <w:t>黄村片区</w:t>
            </w:r>
          </w:p>
        </w:tc>
        <w:tc>
          <w:tcPr>
            <w:tcW w:w="614" w:type="pct"/>
            <w:shd w:val="clear" w:color="auto" w:fill="auto"/>
            <w:vAlign w:val="center"/>
          </w:tcPr>
          <w:p>
            <w:pPr>
              <w:widowControl/>
              <w:snapToGrid w:val="0"/>
              <w:spacing w:line="240" w:lineRule="auto"/>
              <w:ind w:firstLine="0" w:firstLineChars="0"/>
              <w:jc w:val="center"/>
              <w:textAlignment w:val="center"/>
              <w:rPr>
                <w:rFonts w:cs="仿宋_GB2312"/>
                <w:color w:val="000000"/>
                <w:kern w:val="0"/>
                <w:sz w:val="21"/>
                <w:szCs w:val="21"/>
                <w:lang w:bidi="ar"/>
              </w:rPr>
            </w:pPr>
            <w:r>
              <w:rPr>
                <w:rFonts w:hint="eastAsia" w:cs="仿宋_GB2312"/>
                <w:color w:val="000000"/>
                <w:kern w:val="0"/>
                <w:sz w:val="21"/>
                <w:szCs w:val="21"/>
                <w:lang w:bidi="ar"/>
              </w:rPr>
              <w:t>地块二十</w:t>
            </w:r>
          </w:p>
        </w:tc>
        <w:tc>
          <w:tcPr>
            <w:tcW w:w="902" w:type="pct"/>
            <w:shd w:val="clear" w:color="auto" w:fill="auto"/>
            <w:vAlign w:val="center"/>
          </w:tcPr>
          <w:p>
            <w:pPr>
              <w:widowControl/>
              <w:snapToGrid w:val="0"/>
              <w:spacing w:line="240" w:lineRule="auto"/>
              <w:ind w:firstLine="0" w:firstLineChars="0"/>
              <w:jc w:val="center"/>
              <w:textAlignment w:val="center"/>
              <w:rPr>
                <w:rFonts w:cs="仿宋_GB2312"/>
                <w:color w:val="000000"/>
                <w:kern w:val="0"/>
                <w:sz w:val="21"/>
                <w:szCs w:val="21"/>
                <w:lang w:bidi="ar"/>
              </w:rPr>
            </w:pPr>
            <w:r>
              <w:rPr>
                <w:rFonts w:eastAsia="宋体" w:cs="Times New Roman"/>
                <w:color w:val="000000"/>
                <w:kern w:val="0"/>
                <w:sz w:val="21"/>
                <w:szCs w:val="21"/>
                <w:lang w:bidi="ar"/>
              </w:rPr>
              <w:t>0.3333</w:t>
            </w:r>
          </w:p>
        </w:tc>
        <w:tc>
          <w:tcPr>
            <w:tcW w:w="1361" w:type="dxa"/>
            <w:shd w:val="clear" w:color="auto" w:fill="auto"/>
            <w:noWrap/>
            <w:vAlign w:val="center"/>
          </w:tcPr>
          <w:p>
            <w:pPr>
              <w:widowControl/>
              <w:snapToGrid w:val="0"/>
              <w:spacing w:line="240" w:lineRule="auto"/>
              <w:ind w:firstLine="0" w:firstLineChars="0"/>
              <w:jc w:val="center"/>
              <w:rPr>
                <w:rFonts w:cs="宋体"/>
                <w:color w:val="000000"/>
                <w:kern w:val="0"/>
                <w:sz w:val="21"/>
                <w:szCs w:val="21"/>
                <w:lang w:bidi="ar"/>
              </w:rPr>
            </w:pPr>
            <w:r>
              <w:rPr>
                <w:rFonts w:hint="eastAsia" w:cs="宋体"/>
                <w:color w:val="000000"/>
                <w:sz w:val="21"/>
                <w:szCs w:val="21"/>
              </w:rPr>
              <w:t>0</w:t>
            </w:r>
          </w:p>
        </w:tc>
        <w:tc>
          <w:tcPr>
            <w:tcW w:w="932" w:type="pct"/>
            <w:shd w:val="clear" w:color="auto" w:fill="auto"/>
            <w:noWrap/>
            <w:vAlign w:val="center"/>
          </w:tcPr>
          <w:p>
            <w:pPr>
              <w:widowControl/>
              <w:snapToGrid w:val="0"/>
              <w:spacing w:line="240" w:lineRule="auto"/>
              <w:ind w:firstLine="0" w:firstLineChars="0"/>
              <w:jc w:val="center"/>
              <w:textAlignment w:val="center"/>
              <w:rPr>
                <w:rFonts w:cs="宋体"/>
                <w:color w:val="000000"/>
                <w:kern w:val="0"/>
                <w:sz w:val="21"/>
                <w:szCs w:val="21"/>
                <w:lang w:bidi="ar"/>
              </w:rPr>
            </w:pPr>
            <w:r>
              <w:rPr>
                <w:rFonts w:hint="eastAsia" w:cs="宋体"/>
                <w:color w:val="000000"/>
                <w:kern w:val="0"/>
                <w:sz w:val="21"/>
                <w:szCs w:val="21"/>
                <w:lang w:bidi="ar"/>
              </w:rPr>
              <w:t>-0.3333</w:t>
            </w:r>
          </w:p>
        </w:tc>
        <w:tc>
          <w:tcPr>
            <w:tcW w:w="966" w:type="pct"/>
            <w:shd w:val="clear" w:color="auto" w:fill="auto"/>
            <w:vAlign w:val="center"/>
          </w:tcPr>
          <w:p>
            <w:pPr>
              <w:widowControl/>
              <w:snapToGrid w:val="0"/>
              <w:spacing w:line="240" w:lineRule="auto"/>
              <w:ind w:firstLine="0" w:firstLineChars="0"/>
              <w:jc w:val="center"/>
              <w:textAlignment w:val="center"/>
              <w:rPr>
                <w:rFonts w:cs="宋体"/>
                <w:color w:val="000000"/>
                <w:kern w:val="0"/>
                <w:sz w:val="21"/>
                <w:szCs w:val="21"/>
                <w:lang w:bidi="ar"/>
              </w:rPr>
            </w:pPr>
            <w:r>
              <w:rPr>
                <w:rFonts w:hint="eastAsia" w:cs="宋体"/>
                <w:color w:val="000000"/>
                <w:kern w:val="0"/>
                <w:sz w:val="21"/>
                <w:szCs w:val="21"/>
                <w:lang w:bidi="ar"/>
              </w:rPr>
              <w:t>东源县黄村镇黄村温泉养颜康养建设项目撤销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trPr>
        <w:tc>
          <w:tcPr>
            <w:tcW w:w="1434" w:type="pct"/>
            <w:gridSpan w:val="2"/>
            <w:shd w:val="clear" w:color="auto" w:fill="auto"/>
            <w:vAlign w:val="center"/>
          </w:tcPr>
          <w:p>
            <w:pPr>
              <w:widowControl/>
              <w:snapToGrid w:val="0"/>
              <w:spacing w:line="240" w:lineRule="auto"/>
              <w:ind w:firstLine="0" w:firstLineChars="0"/>
              <w:jc w:val="center"/>
              <w:textAlignment w:val="center"/>
              <w:rPr>
                <w:rFonts w:cs="仿宋_GB2312"/>
                <w:color w:val="000000"/>
                <w:kern w:val="0"/>
                <w:sz w:val="21"/>
                <w:szCs w:val="21"/>
                <w:lang w:bidi="ar"/>
              </w:rPr>
            </w:pPr>
            <w:r>
              <w:rPr>
                <w:rFonts w:hint="eastAsia" w:cs="仿宋_GB2312"/>
                <w:color w:val="000000"/>
                <w:kern w:val="0"/>
                <w:sz w:val="21"/>
                <w:szCs w:val="21"/>
                <w:lang w:bidi="ar"/>
              </w:rPr>
              <w:t>总计</w:t>
            </w:r>
          </w:p>
        </w:tc>
        <w:tc>
          <w:tcPr>
            <w:tcW w:w="902" w:type="pct"/>
            <w:shd w:val="clear" w:color="auto" w:fill="auto"/>
            <w:vAlign w:val="center"/>
          </w:tcPr>
          <w:p>
            <w:pPr>
              <w:widowControl/>
              <w:snapToGrid w:val="0"/>
              <w:spacing w:line="240" w:lineRule="auto"/>
              <w:ind w:firstLine="0" w:firstLineChars="0"/>
              <w:jc w:val="center"/>
              <w:textAlignment w:val="center"/>
              <w:rPr>
                <w:rFonts w:eastAsia="宋体" w:cs="Times New Roman"/>
                <w:color w:val="000000"/>
                <w:kern w:val="0"/>
                <w:sz w:val="21"/>
                <w:szCs w:val="21"/>
                <w:lang w:bidi="ar"/>
              </w:rPr>
            </w:pPr>
            <w:r>
              <w:rPr>
                <w:rFonts w:eastAsia="宋体" w:cs="Times New Roman"/>
                <w:color w:val="000000"/>
                <w:kern w:val="0"/>
                <w:sz w:val="21"/>
                <w:szCs w:val="21"/>
                <w:lang w:bidi="ar"/>
              </w:rPr>
              <w:t>185.0508</w:t>
            </w:r>
          </w:p>
        </w:tc>
        <w:tc>
          <w:tcPr>
            <w:tcW w:w="1361" w:type="dxa"/>
            <w:shd w:val="clear" w:color="auto" w:fill="auto"/>
            <w:noWrap/>
            <w:vAlign w:val="center"/>
          </w:tcPr>
          <w:p>
            <w:pPr>
              <w:widowControl/>
              <w:snapToGrid w:val="0"/>
              <w:spacing w:line="240" w:lineRule="auto"/>
              <w:ind w:firstLine="0" w:firstLineChars="0"/>
              <w:jc w:val="center"/>
              <w:rPr>
                <w:rFonts w:hint="eastAsia" w:eastAsia="宋体" w:cs="Times New Roman"/>
                <w:color w:val="000000"/>
                <w:kern w:val="0"/>
                <w:sz w:val="21"/>
                <w:szCs w:val="21"/>
                <w:lang w:val="en-US" w:eastAsia="zh-CN" w:bidi="ar"/>
              </w:rPr>
            </w:pPr>
            <w:r>
              <w:rPr>
                <w:rFonts w:hint="eastAsia" w:eastAsia="宋体" w:cs="Times New Roman"/>
                <w:color w:val="000000"/>
                <w:kern w:val="0"/>
                <w:sz w:val="21"/>
                <w:szCs w:val="21"/>
                <w:lang w:eastAsia="zh-CN" w:bidi="ar"/>
              </w:rPr>
              <w:t>141.4763</w:t>
            </w:r>
          </w:p>
        </w:tc>
        <w:tc>
          <w:tcPr>
            <w:tcW w:w="932" w:type="pct"/>
            <w:shd w:val="clear" w:color="auto" w:fill="auto"/>
            <w:noWrap/>
            <w:vAlign w:val="center"/>
          </w:tcPr>
          <w:p>
            <w:pPr>
              <w:widowControl/>
              <w:snapToGrid w:val="0"/>
              <w:spacing w:line="240" w:lineRule="auto"/>
              <w:ind w:firstLine="0" w:firstLineChars="0"/>
              <w:jc w:val="center"/>
              <w:textAlignment w:val="center"/>
              <w:rPr>
                <w:rFonts w:hint="eastAsia" w:eastAsia="仿宋_GB2312" w:cs="宋体"/>
                <w:color w:val="000000"/>
                <w:kern w:val="0"/>
                <w:sz w:val="21"/>
                <w:szCs w:val="21"/>
                <w:lang w:val="en-US" w:eastAsia="zh-CN" w:bidi="ar"/>
              </w:rPr>
            </w:pPr>
            <w:r>
              <w:rPr>
                <w:rFonts w:hint="eastAsia" w:cs="宋体"/>
                <w:color w:val="000000"/>
                <w:kern w:val="0"/>
                <w:sz w:val="21"/>
                <w:szCs w:val="21"/>
                <w:lang w:bidi="ar"/>
              </w:rPr>
              <w:t>-43.574</w:t>
            </w:r>
            <w:r>
              <w:rPr>
                <w:rFonts w:hint="eastAsia" w:cs="宋体"/>
                <w:color w:val="000000"/>
                <w:kern w:val="0"/>
                <w:sz w:val="21"/>
                <w:szCs w:val="21"/>
                <w:lang w:val="en-US" w:eastAsia="zh-CN" w:bidi="ar"/>
              </w:rPr>
              <w:t>5</w:t>
            </w:r>
          </w:p>
        </w:tc>
        <w:tc>
          <w:tcPr>
            <w:tcW w:w="966" w:type="pct"/>
            <w:shd w:val="clear" w:color="auto" w:fill="auto"/>
            <w:vAlign w:val="center"/>
          </w:tcPr>
          <w:p>
            <w:pPr>
              <w:widowControl/>
              <w:snapToGrid w:val="0"/>
              <w:spacing w:line="240" w:lineRule="auto"/>
              <w:ind w:firstLine="0" w:firstLineChars="0"/>
              <w:jc w:val="center"/>
              <w:textAlignment w:val="center"/>
              <w:rPr>
                <w:rFonts w:cs="宋体"/>
                <w:color w:val="000000"/>
                <w:kern w:val="0"/>
                <w:sz w:val="21"/>
                <w:szCs w:val="21"/>
                <w:lang w:bidi="ar"/>
              </w:rPr>
            </w:pPr>
            <w:r>
              <w:rPr>
                <w:rFonts w:hint="eastAsia" w:cs="宋体"/>
                <w:color w:val="000000"/>
                <w:kern w:val="0"/>
                <w:sz w:val="21"/>
                <w:szCs w:val="21"/>
                <w:lang w:bidi="ar"/>
              </w:rPr>
              <w:t>——</w:t>
            </w:r>
          </w:p>
        </w:tc>
      </w:tr>
    </w:tbl>
    <w:p>
      <w:pPr>
        <w:autoSpaceDN w:val="0"/>
        <w:ind w:left="329" w:firstLine="0" w:firstLineChars="0"/>
        <w:jc w:val="left"/>
        <w:outlineLvl w:val="2"/>
        <w:rPr>
          <w:rFonts w:hint="eastAsia" w:cs="仿宋"/>
          <w:b/>
          <w:bCs/>
          <w:kern w:val="0"/>
          <w:szCs w:val="28"/>
        </w:rPr>
      </w:pPr>
    </w:p>
    <w:p>
      <w:pPr>
        <w:autoSpaceDN w:val="0"/>
        <w:ind w:left="329" w:firstLine="0" w:firstLineChars="0"/>
        <w:jc w:val="left"/>
        <w:outlineLvl w:val="2"/>
        <w:rPr>
          <w:rFonts w:cs="仿宋"/>
          <w:kern w:val="0"/>
          <w:szCs w:val="22"/>
        </w:rPr>
      </w:pPr>
      <w:r>
        <w:rPr>
          <w:rFonts w:hint="eastAsia" w:cs="仿宋"/>
          <w:b/>
          <w:bCs/>
          <w:kern w:val="0"/>
          <w:szCs w:val="28"/>
        </w:rPr>
        <w:t>（二）拟征地范围调整情况</w:t>
      </w:r>
    </w:p>
    <w:p>
      <w:pPr>
        <w:autoSpaceDN w:val="0"/>
        <w:ind w:firstLine="560"/>
        <w:rPr>
          <w:rFonts w:cs="Times New Roman"/>
          <w:szCs w:val="28"/>
        </w:rPr>
      </w:pPr>
      <w:r>
        <w:rPr>
          <w:rFonts w:cs="Times New Roman"/>
          <w:szCs w:val="28"/>
        </w:rPr>
        <w:t>调整后，</w:t>
      </w:r>
      <w:r>
        <w:rPr>
          <w:rFonts w:hint="eastAsia" w:cs="Times New Roman"/>
          <w:szCs w:val="28"/>
        </w:rPr>
        <w:t>东源县</w:t>
      </w:r>
      <w:r>
        <w:rPr>
          <w:rFonts w:cs="Times New Roman"/>
          <w:szCs w:val="28"/>
        </w:rPr>
        <w:t>2022年度土地征收成片开发方案拟征收总面积较调整前</w:t>
      </w:r>
      <w:r>
        <w:rPr>
          <w:rFonts w:hint="eastAsia" w:cs="Times New Roman"/>
          <w:szCs w:val="28"/>
        </w:rPr>
        <w:t>减少</w:t>
      </w:r>
      <w:r>
        <w:rPr>
          <w:rFonts w:cs="Times New Roman"/>
          <w:szCs w:val="28"/>
        </w:rPr>
        <w:t>了</w:t>
      </w:r>
      <w:r>
        <w:rPr>
          <w:rFonts w:hint="eastAsia" w:cs="Times New Roman"/>
          <w:szCs w:val="28"/>
        </w:rPr>
        <w:t>26.788</w:t>
      </w:r>
      <w:r>
        <w:rPr>
          <w:rFonts w:hint="eastAsia" w:cs="Times New Roman"/>
          <w:szCs w:val="28"/>
          <w:lang w:val="en-US" w:eastAsia="zh-CN"/>
        </w:rPr>
        <w:t>6</w:t>
      </w:r>
      <w:r>
        <w:rPr>
          <w:rFonts w:cs="Times New Roman"/>
          <w:szCs w:val="28"/>
        </w:rPr>
        <w:t>公顷</w:t>
      </w:r>
      <w:r>
        <w:rPr>
          <w:rFonts w:hint="eastAsia" w:cs="Times New Roman"/>
          <w:szCs w:val="28"/>
        </w:rPr>
        <w:t>。其中，盐东产业转移园片区成片开发范围周边</w:t>
      </w:r>
      <w:r>
        <w:rPr>
          <w:rFonts w:hint="eastAsia" w:cs="Times New Roman"/>
          <w:szCs w:val="28"/>
          <w:lang w:val="en-US" w:eastAsia="zh-CN"/>
        </w:rPr>
        <w:t>减少</w:t>
      </w:r>
      <w:r>
        <w:rPr>
          <w:rFonts w:hint="eastAsia" w:cs="Times New Roman"/>
          <w:szCs w:val="28"/>
        </w:rPr>
        <w:t>0.2286公顷拟征收地块；灯塔片区成片开发范围周边新增0.7611公顷拟征收地块；在骆湖片区成片开发范围内减少0</w:t>
      </w:r>
      <w:r>
        <w:rPr>
          <w:rFonts w:cs="Times New Roman"/>
          <w:szCs w:val="28"/>
        </w:rPr>
        <w:t>.9516</w:t>
      </w:r>
      <w:r>
        <w:rPr>
          <w:rFonts w:hint="eastAsia" w:cs="Times New Roman"/>
          <w:szCs w:val="28"/>
        </w:rPr>
        <w:t>公顷拟征收地块；在农高核心区片区成片开发范围减少26.03</w:t>
      </w:r>
      <w:r>
        <w:rPr>
          <w:rFonts w:hint="eastAsia" w:cs="Times New Roman"/>
          <w:szCs w:val="28"/>
          <w:lang w:val="en-US" w:eastAsia="zh-CN"/>
        </w:rPr>
        <w:t>62</w:t>
      </w:r>
      <w:r>
        <w:rPr>
          <w:rFonts w:hint="eastAsia" w:cs="Times New Roman"/>
          <w:szCs w:val="28"/>
        </w:rPr>
        <w:t>公顷拟征收地块。</w:t>
      </w:r>
    </w:p>
    <w:p>
      <w:pPr>
        <w:autoSpaceDN w:val="0"/>
        <w:spacing w:line="240" w:lineRule="auto"/>
        <w:ind w:firstLine="0" w:firstLineChars="0"/>
        <w:jc w:val="center"/>
        <w:rPr>
          <w:rFonts w:cs="仿宋"/>
          <w:kern w:val="0"/>
          <w:sz w:val="24"/>
        </w:rPr>
      </w:pPr>
      <w:r>
        <w:rPr>
          <w:rFonts w:hint="eastAsia" w:cs="仿宋"/>
          <w:kern w:val="0"/>
          <w:sz w:val="24"/>
        </w:rPr>
        <w:t>表2-</w:t>
      </w:r>
      <w:r>
        <w:rPr>
          <w:rFonts w:cs="仿宋"/>
          <w:kern w:val="0"/>
          <w:sz w:val="24"/>
        </w:rPr>
        <w:t>7</w:t>
      </w:r>
      <w:r>
        <w:rPr>
          <w:rFonts w:hint="eastAsia" w:cs="仿宋"/>
          <w:kern w:val="0"/>
          <w:sz w:val="24"/>
        </w:rPr>
        <w:t xml:space="preserve"> 东源县2</w:t>
      </w:r>
      <w:r>
        <w:rPr>
          <w:rFonts w:cs="仿宋"/>
          <w:kern w:val="0"/>
          <w:sz w:val="24"/>
        </w:rPr>
        <w:t>022</w:t>
      </w:r>
      <w:r>
        <w:rPr>
          <w:rFonts w:hint="eastAsia" w:cs="仿宋"/>
          <w:kern w:val="0"/>
          <w:sz w:val="24"/>
        </w:rPr>
        <w:t>年度土地征收成片开发拟征收范围调整情况表</w:t>
      </w:r>
    </w:p>
    <w:p>
      <w:pPr>
        <w:autoSpaceDN w:val="0"/>
        <w:spacing w:line="240" w:lineRule="auto"/>
        <w:ind w:firstLine="0" w:firstLineChars="0"/>
        <w:jc w:val="right"/>
        <w:rPr>
          <w:rFonts w:cs="仿宋"/>
          <w:kern w:val="0"/>
          <w:sz w:val="24"/>
        </w:rPr>
      </w:pPr>
      <w:r>
        <w:rPr>
          <w:rFonts w:hint="eastAsia" w:cs="仿宋"/>
          <w:kern w:val="0"/>
          <w:sz w:val="24"/>
        </w:rPr>
        <w:t>单位：公顷</w:t>
      </w:r>
    </w:p>
    <w:tbl>
      <w:tblPr>
        <w:tblStyle w:val="23"/>
        <w:tblW w:w="90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2"/>
        <w:gridCol w:w="1302"/>
        <w:gridCol w:w="1157"/>
        <w:gridCol w:w="1157"/>
        <w:gridCol w:w="1157"/>
        <w:gridCol w:w="3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152" w:type="dxa"/>
            <w:shd w:val="clear" w:color="auto" w:fill="auto"/>
            <w:vAlign w:val="center"/>
          </w:tcPr>
          <w:p>
            <w:pPr>
              <w:widowControl/>
              <w:snapToGrid w:val="0"/>
              <w:spacing w:line="240" w:lineRule="auto"/>
              <w:ind w:firstLine="0" w:firstLineChars="0"/>
              <w:jc w:val="center"/>
              <w:textAlignment w:val="center"/>
              <w:rPr>
                <w:rFonts w:cs="华文细黑"/>
                <w:b/>
                <w:bCs/>
                <w:color w:val="000000"/>
                <w:sz w:val="21"/>
                <w:szCs w:val="21"/>
              </w:rPr>
            </w:pPr>
            <w:r>
              <w:rPr>
                <w:rFonts w:hint="eastAsia" w:cs="华文细黑"/>
                <w:b/>
                <w:bCs/>
                <w:color w:val="000000"/>
                <w:kern w:val="0"/>
                <w:sz w:val="21"/>
                <w:szCs w:val="21"/>
                <w:lang w:bidi="ar"/>
              </w:rPr>
              <w:t>成片开发范围名称</w:t>
            </w:r>
          </w:p>
        </w:tc>
        <w:tc>
          <w:tcPr>
            <w:tcW w:w="1302" w:type="dxa"/>
            <w:shd w:val="clear" w:color="auto" w:fill="auto"/>
            <w:vAlign w:val="center"/>
          </w:tcPr>
          <w:p>
            <w:pPr>
              <w:widowControl/>
              <w:snapToGrid w:val="0"/>
              <w:spacing w:line="240" w:lineRule="auto"/>
              <w:ind w:firstLine="0" w:firstLineChars="0"/>
              <w:jc w:val="center"/>
              <w:textAlignment w:val="center"/>
              <w:rPr>
                <w:rFonts w:cs="华文细黑"/>
                <w:b/>
                <w:bCs/>
                <w:color w:val="000000"/>
                <w:kern w:val="0"/>
                <w:sz w:val="21"/>
                <w:szCs w:val="21"/>
                <w:lang w:bidi="ar"/>
              </w:rPr>
            </w:pPr>
            <w:r>
              <w:rPr>
                <w:rFonts w:hint="eastAsia" w:cs="华文细黑"/>
                <w:b/>
                <w:bCs/>
                <w:color w:val="000000"/>
                <w:kern w:val="0"/>
                <w:sz w:val="21"/>
                <w:szCs w:val="21"/>
                <w:lang w:bidi="ar"/>
              </w:rPr>
              <w:t>地块名称</w:t>
            </w:r>
          </w:p>
        </w:tc>
        <w:tc>
          <w:tcPr>
            <w:tcW w:w="1157" w:type="dxa"/>
            <w:shd w:val="clear" w:color="auto" w:fill="auto"/>
            <w:vAlign w:val="center"/>
          </w:tcPr>
          <w:p>
            <w:pPr>
              <w:widowControl/>
              <w:snapToGrid w:val="0"/>
              <w:spacing w:line="240" w:lineRule="auto"/>
              <w:ind w:firstLine="0" w:firstLineChars="0"/>
              <w:jc w:val="center"/>
              <w:textAlignment w:val="center"/>
              <w:rPr>
                <w:rFonts w:cs="华文细黑"/>
                <w:b/>
                <w:bCs/>
                <w:color w:val="000000"/>
                <w:sz w:val="21"/>
                <w:szCs w:val="21"/>
              </w:rPr>
            </w:pPr>
            <w:r>
              <w:rPr>
                <w:rFonts w:hint="eastAsia" w:cs="华文细黑"/>
                <w:b/>
                <w:bCs/>
                <w:color w:val="000000"/>
                <w:kern w:val="0"/>
                <w:sz w:val="21"/>
                <w:szCs w:val="21"/>
                <w:lang w:bidi="ar"/>
              </w:rPr>
              <w:t>调整前拟征收面积</w:t>
            </w:r>
          </w:p>
        </w:tc>
        <w:tc>
          <w:tcPr>
            <w:tcW w:w="1157" w:type="dxa"/>
            <w:shd w:val="clear" w:color="auto" w:fill="auto"/>
            <w:vAlign w:val="center"/>
          </w:tcPr>
          <w:p>
            <w:pPr>
              <w:widowControl/>
              <w:snapToGrid w:val="0"/>
              <w:spacing w:line="240" w:lineRule="auto"/>
              <w:ind w:firstLine="0" w:firstLineChars="0"/>
              <w:jc w:val="center"/>
              <w:textAlignment w:val="center"/>
              <w:rPr>
                <w:rFonts w:cs="华文细黑"/>
                <w:b/>
                <w:bCs/>
                <w:color w:val="000000"/>
                <w:sz w:val="21"/>
                <w:szCs w:val="21"/>
              </w:rPr>
            </w:pPr>
            <w:r>
              <w:rPr>
                <w:rFonts w:cs="华文细黑"/>
                <w:b/>
                <w:bCs/>
                <w:color w:val="000000"/>
                <w:sz w:val="21"/>
                <w:szCs w:val="21"/>
              </w:rPr>
              <w:t>调整</w:t>
            </w:r>
            <w:r>
              <w:rPr>
                <w:rFonts w:hint="eastAsia" w:cs="华文细黑"/>
                <w:b/>
                <w:bCs/>
                <w:color w:val="000000"/>
                <w:sz w:val="21"/>
                <w:szCs w:val="21"/>
              </w:rPr>
              <w:t>后拟征收</w:t>
            </w:r>
            <w:r>
              <w:rPr>
                <w:rFonts w:cs="华文细黑"/>
                <w:b/>
                <w:bCs/>
                <w:color w:val="000000"/>
                <w:sz w:val="21"/>
                <w:szCs w:val="21"/>
              </w:rPr>
              <w:t>面积</w:t>
            </w:r>
          </w:p>
        </w:tc>
        <w:tc>
          <w:tcPr>
            <w:tcW w:w="1157" w:type="dxa"/>
            <w:shd w:val="clear" w:color="auto" w:fill="auto"/>
            <w:vAlign w:val="center"/>
          </w:tcPr>
          <w:p>
            <w:pPr>
              <w:widowControl/>
              <w:snapToGrid w:val="0"/>
              <w:spacing w:line="240" w:lineRule="auto"/>
              <w:ind w:firstLine="0" w:firstLineChars="0"/>
              <w:jc w:val="center"/>
              <w:rPr>
                <w:rFonts w:cs="华文细黑"/>
                <w:b/>
                <w:bCs/>
                <w:color w:val="000000"/>
                <w:sz w:val="21"/>
                <w:szCs w:val="21"/>
              </w:rPr>
            </w:pPr>
            <w:r>
              <w:rPr>
                <w:rFonts w:hint="eastAsia" w:cs="华文细黑"/>
                <w:b/>
                <w:bCs/>
                <w:color w:val="000000"/>
                <w:kern w:val="0"/>
                <w:sz w:val="21"/>
                <w:szCs w:val="21"/>
                <w:lang w:bidi="ar"/>
              </w:rPr>
              <w:t>调整后减调整前</w:t>
            </w:r>
          </w:p>
        </w:tc>
        <w:tc>
          <w:tcPr>
            <w:tcW w:w="3094" w:type="dxa"/>
            <w:shd w:val="clear" w:color="auto" w:fill="auto"/>
            <w:vAlign w:val="center"/>
          </w:tcPr>
          <w:p>
            <w:pPr>
              <w:widowControl/>
              <w:snapToGrid w:val="0"/>
              <w:spacing w:line="240" w:lineRule="auto"/>
              <w:ind w:firstLine="0" w:firstLineChars="0"/>
              <w:jc w:val="center"/>
              <w:rPr>
                <w:rFonts w:cs="华文细黑"/>
                <w:b/>
                <w:bCs/>
                <w:color w:val="000000"/>
                <w:sz w:val="21"/>
                <w:szCs w:val="21"/>
              </w:rPr>
            </w:pPr>
            <w:r>
              <w:rPr>
                <w:rFonts w:hint="eastAsia" w:cs="华文细黑"/>
                <w:b/>
                <w:bCs/>
                <w:color w:val="000000"/>
                <w:sz w:val="21"/>
                <w:szCs w:val="21"/>
              </w:rPr>
              <w:t>调整原因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152" w:type="dxa"/>
            <w:vMerge w:val="restart"/>
            <w:shd w:val="clear" w:color="auto" w:fill="auto"/>
            <w:vAlign w:val="center"/>
          </w:tcPr>
          <w:p>
            <w:pPr>
              <w:widowControl/>
              <w:snapToGrid w:val="0"/>
              <w:spacing w:line="240" w:lineRule="auto"/>
              <w:ind w:firstLine="0" w:firstLineChars="0"/>
              <w:jc w:val="center"/>
              <w:textAlignment w:val="center"/>
              <w:rPr>
                <w:rFonts w:cs="仿宋_GB2312"/>
                <w:color w:val="000000"/>
                <w:sz w:val="21"/>
                <w:szCs w:val="21"/>
              </w:rPr>
            </w:pPr>
            <w:r>
              <w:rPr>
                <w:rFonts w:hint="eastAsia" w:cs="仿宋_GB2312"/>
                <w:color w:val="000000"/>
                <w:kern w:val="0"/>
                <w:sz w:val="21"/>
                <w:szCs w:val="21"/>
                <w:lang w:bidi="ar"/>
              </w:rPr>
              <w:t>盐东产业转移园片区</w:t>
            </w:r>
          </w:p>
        </w:tc>
        <w:tc>
          <w:tcPr>
            <w:tcW w:w="1302" w:type="dxa"/>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hint="eastAsia" w:cs="Times New Roman"/>
                <w:color w:val="000000"/>
                <w:kern w:val="0"/>
                <w:sz w:val="21"/>
                <w:szCs w:val="21"/>
                <w:lang w:bidi="ar"/>
              </w:rPr>
              <w:t>地块一</w:t>
            </w:r>
          </w:p>
        </w:tc>
        <w:tc>
          <w:tcPr>
            <w:tcW w:w="1157" w:type="dxa"/>
            <w:shd w:val="clear" w:color="auto" w:fill="auto"/>
            <w:vAlign w:val="center"/>
          </w:tcPr>
          <w:p>
            <w:pPr>
              <w:widowControl/>
              <w:snapToGrid w:val="0"/>
              <w:spacing w:line="240" w:lineRule="auto"/>
              <w:ind w:firstLine="0" w:firstLineChars="0"/>
              <w:jc w:val="center"/>
              <w:textAlignment w:val="center"/>
              <w:rPr>
                <w:rFonts w:cs="Times New Roman"/>
                <w:color w:val="000000"/>
                <w:sz w:val="21"/>
                <w:szCs w:val="21"/>
              </w:rPr>
            </w:pPr>
            <w:r>
              <w:rPr>
                <w:rFonts w:eastAsia="宋体"/>
                <w:color w:val="000000"/>
                <w:kern w:val="0"/>
                <w:sz w:val="21"/>
                <w:szCs w:val="21"/>
                <w:lang w:bidi="ar"/>
              </w:rPr>
              <w:t>0.3297</w:t>
            </w:r>
          </w:p>
        </w:tc>
        <w:tc>
          <w:tcPr>
            <w:tcW w:w="1157" w:type="dxa"/>
            <w:shd w:val="clear" w:color="auto" w:fill="auto"/>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olor w:val="000000"/>
                <w:sz w:val="21"/>
                <w:szCs w:val="21"/>
              </w:rPr>
              <w:t>0.3297</w:t>
            </w:r>
          </w:p>
        </w:tc>
        <w:tc>
          <w:tcPr>
            <w:tcW w:w="1157" w:type="dxa"/>
            <w:shd w:val="clear" w:color="auto" w:fill="auto"/>
            <w:vAlign w:val="center"/>
          </w:tcPr>
          <w:p>
            <w:pPr>
              <w:widowControl/>
              <w:snapToGrid w:val="0"/>
              <w:spacing w:line="240" w:lineRule="auto"/>
              <w:ind w:firstLine="0" w:firstLineChars="0"/>
              <w:jc w:val="center"/>
              <w:textAlignment w:val="center"/>
              <w:rPr>
                <w:rFonts w:cs="华文细黑"/>
                <w:color w:val="000000"/>
                <w:sz w:val="21"/>
                <w:szCs w:val="21"/>
              </w:rPr>
            </w:pPr>
            <w:r>
              <w:rPr>
                <w:rFonts w:hint="eastAsia" w:cs="华文细黑"/>
                <w:color w:val="000000"/>
                <w:kern w:val="0"/>
                <w:sz w:val="21"/>
                <w:szCs w:val="21"/>
                <w:lang w:bidi="ar"/>
              </w:rPr>
              <w:t>0</w:t>
            </w:r>
          </w:p>
        </w:tc>
        <w:tc>
          <w:tcPr>
            <w:tcW w:w="3094" w:type="dxa"/>
            <w:shd w:val="clear" w:color="auto" w:fill="auto"/>
            <w:vAlign w:val="center"/>
          </w:tcPr>
          <w:p>
            <w:pPr>
              <w:widowControl/>
              <w:snapToGrid w:val="0"/>
              <w:spacing w:line="240" w:lineRule="auto"/>
              <w:ind w:firstLine="0" w:firstLineChars="0"/>
              <w:jc w:val="center"/>
              <w:textAlignment w:val="center"/>
              <w:rPr>
                <w:rFonts w:cs="Arial"/>
                <w:color w:val="000000"/>
                <w:sz w:val="21"/>
                <w:szCs w:val="21"/>
              </w:rPr>
            </w:pPr>
            <w:r>
              <w:rPr>
                <w:rFonts w:hint="eastAsia" w:cs="华文细黑"/>
                <w:color w:val="000000"/>
                <w:kern w:val="0"/>
                <w:sz w:val="21"/>
                <w:szCs w:val="21"/>
                <w:lang w:bidi="ar"/>
              </w:rPr>
              <w:t>未调整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152" w:type="dxa"/>
            <w:vMerge w:val="continue"/>
            <w:shd w:val="clear" w:color="auto" w:fill="auto"/>
            <w:vAlign w:val="center"/>
          </w:tcPr>
          <w:p>
            <w:pPr>
              <w:widowControl/>
              <w:snapToGrid w:val="0"/>
              <w:spacing w:line="240" w:lineRule="auto"/>
              <w:ind w:firstLine="0" w:firstLineChars="0"/>
              <w:jc w:val="center"/>
              <w:textAlignment w:val="center"/>
              <w:rPr>
                <w:rFonts w:cs="仿宋_GB2312"/>
                <w:color w:val="000000"/>
                <w:kern w:val="0"/>
                <w:sz w:val="21"/>
                <w:szCs w:val="21"/>
                <w:lang w:bidi="ar"/>
              </w:rPr>
            </w:pPr>
          </w:p>
        </w:tc>
        <w:tc>
          <w:tcPr>
            <w:tcW w:w="1302" w:type="dxa"/>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hint="eastAsia" w:cs="Times New Roman"/>
                <w:color w:val="000000"/>
                <w:kern w:val="0"/>
                <w:sz w:val="21"/>
                <w:szCs w:val="21"/>
                <w:lang w:bidi="ar"/>
              </w:rPr>
              <w:t>地块二</w:t>
            </w:r>
          </w:p>
        </w:tc>
        <w:tc>
          <w:tcPr>
            <w:tcW w:w="1157" w:type="dxa"/>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eastAsia="宋体"/>
                <w:color w:val="000000"/>
                <w:kern w:val="0"/>
                <w:sz w:val="21"/>
                <w:szCs w:val="21"/>
                <w:lang w:bidi="ar"/>
              </w:rPr>
              <w:t>0.0095</w:t>
            </w:r>
          </w:p>
        </w:tc>
        <w:tc>
          <w:tcPr>
            <w:tcW w:w="1157" w:type="dxa"/>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hint="eastAsia"/>
                <w:color w:val="000000"/>
                <w:kern w:val="0"/>
                <w:sz w:val="21"/>
                <w:szCs w:val="21"/>
                <w:lang w:bidi="ar"/>
              </w:rPr>
              <w:t>0.0095</w:t>
            </w:r>
          </w:p>
        </w:tc>
        <w:tc>
          <w:tcPr>
            <w:tcW w:w="1157" w:type="dxa"/>
            <w:shd w:val="clear" w:color="auto" w:fill="auto"/>
            <w:vAlign w:val="center"/>
          </w:tcPr>
          <w:p>
            <w:pPr>
              <w:widowControl/>
              <w:snapToGrid w:val="0"/>
              <w:spacing w:line="240" w:lineRule="auto"/>
              <w:ind w:firstLine="0" w:firstLineChars="0"/>
              <w:jc w:val="center"/>
              <w:textAlignment w:val="center"/>
              <w:rPr>
                <w:rFonts w:cs="华文细黑"/>
                <w:color w:val="000000"/>
                <w:kern w:val="0"/>
                <w:sz w:val="21"/>
                <w:szCs w:val="21"/>
                <w:lang w:bidi="ar"/>
              </w:rPr>
            </w:pPr>
            <w:r>
              <w:rPr>
                <w:rFonts w:hint="eastAsia" w:cs="华文细黑"/>
                <w:color w:val="000000"/>
                <w:kern w:val="0"/>
                <w:sz w:val="21"/>
                <w:szCs w:val="21"/>
                <w:lang w:bidi="ar"/>
              </w:rPr>
              <w:t>0</w:t>
            </w:r>
          </w:p>
        </w:tc>
        <w:tc>
          <w:tcPr>
            <w:tcW w:w="3094" w:type="dxa"/>
            <w:shd w:val="clear" w:color="auto" w:fill="auto"/>
            <w:vAlign w:val="center"/>
          </w:tcPr>
          <w:p>
            <w:pPr>
              <w:widowControl/>
              <w:snapToGrid w:val="0"/>
              <w:spacing w:line="240" w:lineRule="auto"/>
              <w:ind w:firstLine="0" w:firstLineChars="0"/>
              <w:jc w:val="center"/>
              <w:textAlignment w:val="center"/>
              <w:rPr>
                <w:rFonts w:cs="Arial"/>
                <w:color w:val="000000"/>
                <w:sz w:val="21"/>
                <w:szCs w:val="21"/>
              </w:rPr>
            </w:pPr>
            <w:r>
              <w:rPr>
                <w:rFonts w:hint="eastAsia" w:cs="华文细黑"/>
                <w:color w:val="000000"/>
                <w:kern w:val="0"/>
                <w:sz w:val="21"/>
                <w:szCs w:val="21"/>
                <w:lang w:bidi="ar"/>
              </w:rPr>
              <w:t>未调整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152" w:type="dxa"/>
            <w:vMerge w:val="continue"/>
            <w:shd w:val="clear" w:color="auto" w:fill="auto"/>
            <w:vAlign w:val="center"/>
          </w:tcPr>
          <w:p>
            <w:pPr>
              <w:widowControl/>
              <w:snapToGrid w:val="0"/>
              <w:spacing w:line="240" w:lineRule="auto"/>
              <w:ind w:firstLine="0" w:firstLineChars="0"/>
              <w:jc w:val="center"/>
              <w:textAlignment w:val="center"/>
              <w:rPr>
                <w:rFonts w:cs="仿宋_GB2312"/>
                <w:color w:val="000000"/>
                <w:kern w:val="0"/>
                <w:sz w:val="21"/>
                <w:szCs w:val="21"/>
                <w:lang w:bidi="ar"/>
              </w:rPr>
            </w:pPr>
          </w:p>
        </w:tc>
        <w:tc>
          <w:tcPr>
            <w:tcW w:w="1302" w:type="dxa"/>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hint="eastAsia" w:cs="Times New Roman"/>
                <w:color w:val="000000"/>
                <w:kern w:val="0"/>
                <w:sz w:val="21"/>
                <w:szCs w:val="21"/>
                <w:lang w:bidi="ar"/>
              </w:rPr>
              <w:t>地块三</w:t>
            </w:r>
          </w:p>
        </w:tc>
        <w:tc>
          <w:tcPr>
            <w:tcW w:w="1157" w:type="dxa"/>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eastAsia="宋体"/>
                <w:color w:val="000000"/>
                <w:kern w:val="0"/>
                <w:sz w:val="21"/>
                <w:szCs w:val="21"/>
                <w:lang w:bidi="ar"/>
              </w:rPr>
              <w:t>0.0011</w:t>
            </w:r>
          </w:p>
        </w:tc>
        <w:tc>
          <w:tcPr>
            <w:tcW w:w="1157" w:type="dxa"/>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hint="eastAsia" w:cs="Times New Roman"/>
                <w:color w:val="000000"/>
                <w:kern w:val="0"/>
                <w:sz w:val="21"/>
                <w:szCs w:val="21"/>
                <w:lang w:bidi="ar"/>
              </w:rPr>
              <w:t>0.0011</w:t>
            </w:r>
          </w:p>
        </w:tc>
        <w:tc>
          <w:tcPr>
            <w:tcW w:w="1157" w:type="dxa"/>
            <w:shd w:val="clear" w:color="auto" w:fill="auto"/>
            <w:vAlign w:val="center"/>
          </w:tcPr>
          <w:p>
            <w:pPr>
              <w:widowControl/>
              <w:snapToGrid w:val="0"/>
              <w:spacing w:line="240" w:lineRule="auto"/>
              <w:ind w:firstLine="0" w:firstLineChars="0"/>
              <w:jc w:val="center"/>
              <w:textAlignment w:val="center"/>
              <w:rPr>
                <w:rFonts w:cs="华文细黑"/>
                <w:color w:val="000000"/>
                <w:kern w:val="0"/>
                <w:sz w:val="21"/>
                <w:szCs w:val="21"/>
                <w:lang w:bidi="ar"/>
              </w:rPr>
            </w:pPr>
            <w:r>
              <w:rPr>
                <w:rFonts w:hint="eastAsia" w:cs="华文细黑"/>
                <w:color w:val="000000"/>
                <w:kern w:val="0"/>
                <w:sz w:val="21"/>
                <w:szCs w:val="21"/>
                <w:lang w:bidi="ar"/>
              </w:rPr>
              <w:t>0</w:t>
            </w:r>
          </w:p>
        </w:tc>
        <w:tc>
          <w:tcPr>
            <w:tcW w:w="3094" w:type="dxa"/>
            <w:shd w:val="clear" w:color="auto" w:fill="auto"/>
            <w:vAlign w:val="center"/>
          </w:tcPr>
          <w:p>
            <w:pPr>
              <w:widowControl/>
              <w:snapToGrid w:val="0"/>
              <w:spacing w:line="240" w:lineRule="auto"/>
              <w:ind w:firstLine="0" w:firstLineChars="0"/>
              <w:jc w:val="center"/>
              <w:textAlignment w:val="center"/>
              <w:rPr>
                <w:rFonts w:cs="Arial"/>
                <w:color w:val="000000"/>
                <w:sz w:val="21"/>
                <w:szCs w:val="21"/>
              </w:rPr>
            </w:pPr>
            <w:r>
              <w:rPr>
                <w:rFonts w:hint="eastAsia" w:cs="Arial"/>
                <w:color w:val="000000"/>
                <w:sz w:val="21"/>
                <w:szCs w:val="21"/>
              </w:rPr>
              <w:t>未调整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152" w:type="dxa"/>
            <w:vMerge w:val="continue"/>
            <w:shd w:val="clear" w:color="auto" w:fill="auto"/>
            <w:vAlign w:val="center"/>
          </w:tcPr>
          <w:p>
            <w:pPr>
              <w:widowControl/>
              <w:snapToGrid w:val="0"/>
              <w:spacing w:line="240" w:lineRule="auto"/>
              <w:ind w:firstLine="0" w:firstLineChars="0"/>
              <w:jc w:val="center"/>
              <w:textAlignment w:val="center"/>
              <w:rPr>
                <w:rFonts w:cs="仿宋_GB2312"/>
                <w:color w:val="000000"/>
                <w:kern w:val="0"/>
                <w:sz w:val="21"/>
                <w:szCs w:val="21"/>
                <w:lang w:bidi="ar"/>
              </w:rPr>
            </w:pPr>
          </w:p>
        </w:tc>
        <w:tc>
          <w:tcPr>
            <w:tcW w:w="1302" w:type="dxa"/>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hint="eastAsia" w:cs="Times New Roman"/>
                <w:color w:val="000000"/>
                <w:kern w:val="0"/>
                <w:sz w:val="21"/>
                <w:szCs w:val="21"/>
                <w:lang w:bidi="ar"/>
              </w:rPr>
              <w:t>地块四</w:t>
            </w:r>
          </w:p>
        </w:tc>
        <w:tc>
          <w:tcPr>
            <w:tcW w:w="1157" w:type="dxa"/>
            <w:shd w:val="clear" w:color="auto" w:fill="auto"/>
            <w:vAlign w:val="center"/>
          </w:tcPr>
          <w:p>
            <w:pPr>
              <w:widowControl/>
              <w:snapToGrid w:val="0"/>
              <w:spacing w:line="240" w:lineRule="auto"/>
              <w:ind w:firstLine="0" w:firstLineChars="0"/>
              <w:jc w:val="center"/>
              <w:textAlignment w:val="center"/>
              <w:rPr>
                <w:rFonts w:eastAsia="宋体" w:cs="Times New Roman"/>
                <w:color w:val="000000"/>
                <w:kern w:val="0"/>
                <w:sz w:val="21"/>
                <w:szCs w:val="21"/>
                <w:lang w:bidi="ar"/>
              </w:rPr>
            </w:pPr>
            <w:r>
              <w:rPr>
                <w:rFonts w:eastAsia="宋体"/>
                <w:color w:val="000000"/>
                <w:kern w:val="0"/>
                <w:sz w:val="21"/>
                <w:szCs w:val="21"/>
                <w:lang w:bidi="ar"/>
              </w:rPr>
              <w:t>7.8366</w:t>
            </w:r>
          </w:p>
        </w:tc>
        <w:tc>
          <w:tcPr>
            <w:tcW w:w="1157" w:type="dxa"/>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hint="eastAsia"/>
                <w:color w:val="000000"/>
                <w:kern w:val="0"/>
                <w:sz w:val="21"/>
                <w:szCs w:val="21"/>
                <w:lang w:bidi="ar"/>
              </w:rPr>
              <w:t>7.8367</w:t>
            </w:r>
          </w:p>
        </w:tc>
        <w:tc>
          <w:tcPr>
            <w:tcW w:w="1157" w:type="dxa"/>
            <w:shd w:val="clear" w:color="auto" w:fill="auto"/>
            <w:vAlign w:val="center"/>
          </w:tcPr>
          <w:p>
            <w:pPr>
              <w:widowControl/>
              <w:snapToGrid w:val="0"/>
              <w:spacing w:line="240" w:lineRule="auto"/>
              <w:ind w:firstLine="0" w:firstLineChars="0"/>
              <w:jc w:val="center"/>
              <w:textAlignment w:val="center"/>
              <w:rPr>
                <w:rFonts w:cs="华文细黑"/>
                <w:color w:val="000000"/>
                <w:kern w:val="0"/>
                <w:sz w:val="21"/>
                <w:szCs w:val="21"/>
                <w:lang w:bidi="ar"/>
              </w:rPr>
            </w:pPr>
            <w:r>
              <w:rPr>
                <w:rFonts w:hint="eastAsia" w:cs="华文细黑"/>
                <w:color w:val="000000"/>
                <w:kern w:val="0"/>
                <w:sz w:val="21"/>
                <w:szCs w:val="21"/>
                <w:lang w:bidi="ar"/>
              </w:rPr>
              <w:t>0.0001</w:t>
            </w:r>
          </w:p>
        </w:tc>
        <w:tc>
          <w:tcPr>
            <w:tcW w:w="3094" w:type="dxa"/>
            <w:shd w:val="clear" w:color="auto" w:fill="auto"/>
            <w:vAlign w:val="center"/>
          </w:tcPr>
          <w:p>
            <w:pPr>
              <w:widowControl/>
              <w:snapToGrid w:val="0"/>
              <w:spacing w:line="240" w:lineRule="auto"/>
              <w:ind w:firstLine="0" w:firstLineChars="0"/>
              <w:jc w:val="center"/>
              <w:textAlignment w:val="center"/>
              <w:rPr>
                <w:rFonts w:cs="Arial"/>
                <w:color w:val="000000"/>
                <w:sz w:val="21"/>
                <w:szCs w:val="21"/>
              </w:rPr>
            </w:pPr>
            <w:r>
              <w:rPr>
                <w:rFonts w:hint="eastAsia" w:cs="Arial"/>
                <w:color w:val="000000"/>
                <w:sz w:val="21"/>
                <w:szCs w:val="21"/>
              </w:rPr>
              <w:t>未调整，省厅压占系统面积平差导致差异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152" w:type="dxa"/>
            <w:vMerge w:val="continue"/>
            <w:shd w:val="clear" w:color="auto" w:fill="auto"/>
            <w:vAlign w:val="center"/>
          </w:tcPr>
          <w:p>
            <w:pPr>
              <w:widowControl/>
              <w:snapToGrid w:val="0"/>
              <w:spacing w:line="240" w:lineRule="auto"/>
              <w:ind w:firstLine="0" w:firstLineChars="0"/>
              <w:jc w:val="center"/>
              <w:textAlignment w:val="center"/>
              <w:rPr>
                <w:rFonts w:cs="仿宋_GB2312"/>
                <w:color w:val="000000"/>
                <w:kern w:val="0"/>
                <w:sz w:val="21"/>
                <w:szCs w:val="21"/>
                <w:lang w:bidi="ar"/>
              </w:rPr>
            </w:pPr>
          </w:p>
        </w:tc>
        <w:tc>
          <w:tcPr>
            <w:tcW w:w="1302" w:type="dxa"/>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hint="eastAsia" w:cs="Times New Roman"/>
                <w:color w:val="000000"/>
                <w:kern w:val="0"/>
                <w:sz w:val="21"/>
                <w:szCs w:val="21"/>
                <w:lang w:bidi="ar"/>
              </w:rPr>
              <w:t>地块五</w:t>
            </w:r>
          </w:p>
        </w:tc>
        <w:tc>
          <w:tcPr>
            <w:tcW w:w="1157" w:type="dxa"/>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eastAsia="宋体"/>
                <w:color w:val="000000"/>
                <w:kern w:val="0"/>
                <w:sz w:val="21"/>
                <w:szCs w:val="21"/>
                <w:lang w:bidi="ar"/>
              </w:rPr>
              <w:t>4.8274</w:t>
            </w:r>
          </w:p>
        </w:tc>
        <w:tc>
          <w:tcPr>
            <w:tcW w:w="1157" w:type="dxa"/>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hint="eastAsia" w:cs="Times New Roman"/>
                <w:color w:val="000000"/>
                <w:kern w:val="0"/>
                <w:sz w:val="21"/>
                <w:szCs w:val="21"/>
                <w:lang w:bidi="ar"/>
              </w:rPr>
              <w:t>4.8156</w:t>
            </w:r>
          </w:p>
        </w:tc>
        <w:tc>
          <w:tcPr>
            <w:tcW w:w="1157" w:type="dxa"/>
            <w:shd w:val="clear" w:color="auto" w:fill="auto"/>
            <w:vAlign w:val="center"/>
          </w:tcPr>
          <w:p>
            <w:pPr>
              <w:widowControl/>
              <w:snapToGrid w:val="0"/>
              <w:spacing w:line="240" w:lineRule="auto"/>
              <w:ind w:firstLine="0" w:firstLineChars="0"/>
              <w:jc w:val="center"/>
              <w:textAlignment w:val="center"/>
              <w:rPr>
                <w:rFonts w:cs="华文细黑"/>
                <w:color w:val="000000"/>
                <w:kern w:val="0"/>
                <w:sz w:val="21"/>
                <w:szCs w:val="21"/>
                <w:lang w:bidi="ar"/>
              </w:rPr>
            </w:pPr>
            <w:r>
              <w:rPr>
                <w:rFonts w:hint="eastAsia" w:cs="华文细黑"/>
                <w:color w:val="000000"/>
                <w:kern w:val="0"/>
                <w:sz w:val="21"/>
                <w:szCs w:val="21"/>
                <w:lang w:bidi="ar"/>
              </w:rPr>
              <w:t>-0.0118</w:t>
            </w:r>
          </w:p>
        </w:tc>
        <w:tc>
          <w:tcPr>
            <w:tcW w:w="3094" w:type="dxa"/>
            <w:shd w:val="clear" w:color="auto" w:fill="auto"/>
            <w:vAlign w:val="center"/>
          </w:tcPr>
          <w:p>
            <w:pPr>
              <w:widowControl/>
              <w:snapToGrid w:val="0"/>
              <w:spacing w:line="240" w:lineRule="auto"/>
              <w:ind w:firstLine="0" w:firstLineChars="0"/>
              <w:jc w:val="center"/>
              <w:textAlignment w:val="center"/>
              <w:rPr>
                <w:rFonts w:hint="eastAsia" w:eastAsia="仿宋_GB2312" w:cs="Arial"/>
                <w:color w:val="000000"/>
                <w:sz w:val="21"/>
                <w:szCs w:val="21"/>
                <w:lang w:eastAsia="zh-CN"/>
              </w:rPr>
            </w:pPr>
            <w:r>
              <w:rPr>
                <w:rFonts w:hint="eastAsia" w:cs="Arial"/>
                <w:color w:val="000000"/>
                <w:sz w:val="21"/>
                <w:szCs w:val="21"/>
              </w:rPr>
              <w:t>盐田东源共建现代物流园建设项目范围</w:t>
            </w:r>
            <w:r>
              <w:rPr>
                <w:rFonts w:hint="eastAsia" w:cs="Arial"/>
                <w:color w:val="000000"/>
                <w:sz w:val="21"/>
                <w:szCs w:val="21"/>
                <w:lang w:val="en-US" w:eastAsia="zh-CN"/>
              </w:rPr>
              <w:t>缩小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152" w:type="dxa"/>
            <w:vMerge w:val="continue"/>
            <w:shd w:val="clear" w:color="auto" w:fill="auto"/>
            <w:vAlign w:val="center"/>
          </w:tcPr>
          <w:p>
            <w:pPr>
              <w:widowControl/>
              <w:snapToGrid w:val="0"/>
              <w:spacing w:line="240" w:lineRule="auto"/>
              <w:ind w:firstLine="0" w:firstLineChars="0"/>
              <w:jc w:val="center"/>
              <w:textAlignment w:val="center"/>
              <w:rPr>
                <w:rFonts w:cs="仿宋_GB2312"/>
                <w:color w:val="000000"/>
                <w:kern w:val="0"/>
                <w:sz w:val="21"/>
                <w:szCs w:val="21"/>
                <w:lang w:bidi="ar"/>
              </w:rPr>
            </w:pPr>
          </w:p>
        </w:tc>
        <w:tc>
          <w:tcPr>
            <w:tcW w:w="1302" w:type="dxa"/>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hint="eastAsia" w:cs="Times New Roman"/>
                <w:color w:val="000000"/>
                <w:kern w:val="0"/>
                <w:sz w:val="21"/>
                <w:szCs w:val="21"/>
                <w:lang w:bidi="ar"/>
              </w:rPr>
              <w:t>地块六</w:t>
            </w:r>
          </w:p>
        </w:tc>
        <w:tc>
          <w:tcPr>
            <w:tcW w:w="1157" w:type="dxa"/>
            <w:shd w:val="clear" w:color="auto" w:fill="auto"/>
            <w:vAlign w:val="center"/>
          </w:tcPr>
          <w:p>
            <w:pPr>
              <w:widowControl/>
              <w:snapToGrid w:val="0"/>
              <w:spacing w:line="240" w:lineRule="auto"/>
              <w:ind w:firstLine="0" w:firstLineChars="0"/>
              <w:jc w:val="center"/>
              <w:textAlignment w:val="center"/>
              <w:rPr>
                <w:rFonts w:eastAsia="宋体" w:cs="Times New Roman"/>
                <w:color w:val="000000"/>
                <w:kern w:val="0"/>
                <w:sz w:val="21"/>
                <w:szCs w:val="21"/>
                <w:lang w:bidi="ar"/>
              </w:rPr>
            </w:pPr>
            <w:r>
              <w:rPr>
                <w:rFonts w:eastAsia="宋体"/>
                <w:color w:val="000000"/>
                <w:kern w:val="0"/>
                <w:sz w:val="21"/>
                <w:szCs w:val="21"/>
                <w:lang w:bidi="ar"/>
              </w:rPr>
              <w:t>48.7401</w:t>
            </w:r>
          </w:p>
        </w:tc>
        <w:tc>
          <w:tcPr>
            <w:tcW w:w="1157" w:type="dxa"/>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hint="eastAsia"/>
                <w:color w:val="000000"/>
                <w:kern w:val="0"/>
                <w:sz w:val="21"/>
                <w:szCs w:val="21"/>
                <w:lang w:bidi="ar"/>
              </w:rPr>
              <w:t>48.7399</w:t>
            </w:r>
          </w:p>
        </w:tc>
        <w:tc>
          <w:tcPr>
            <w:tcW w:w="1157" w:type="dxa"/>
            <w:shd w:val="clear" w:color="auto" w:fill="auto"/>
            <w:vAlign w:val="center"/>
          </w:tcPr>
          <w:p>
            <w:pPr>
              <w:widowControl/>
              <w:snapToGrid w:val="0"/>
              <w:spacing w:line="240" w:lineRule="auto"/>
              <w:ind w:firstLine="0" w:firstLineChars="0"/>
              <w:jc w:val="center"/>
              <w:textAlignment w:val="center"/>
              <w:rPr>
                <w:rFonts w:cs="华文细黑"/>
                <w:color w:val="000000"/>
                <w:kern w:val="0"/>
                <w:sz w:val="21"/>
                <w:szCs w:val="21"/>
                <w:lang w:bidi="ar"/>
              </w:rPr>
            </w:pPr>
            <w:r>
              <w:rPr>
                <w:rFonts w:hint="eastAsia" w:cs="华文细黑"/>
                <w:color w:val="000000"/>
                <w:kern w:val="0"/>
                <w:sz w:val="21"/>
                <w:szCs w:val="21"/>
                <w:lang w:bidi="ar"/>
              </w:rPr>
              <w:t>-0.0002</w:t>
            </w:r>
          </w:p>
        </w:tc>
        <w:tc>
          <w:tcPr>
            <w:tcW w:w="3094" w:type="dxa"/>
            <w:shd w:val="clear" w:color="auto" w:fill="auto"/>
            <w:vAlign w:val="center"/>
          </w:tcPr>
          <w:p>
            <w:pPr>
              <w:widowControl/>
              <w:snapToGrid w:val="0"/>
              <w:spacing w:line="240" w:lineRule="auto"/>
              <w:ind w:firstLine="0" w:firstLineChars="0"/>
              <w:jc w:val="center"/>
              <w:textAlignment w:val="center"/>
              <w:rPr>
                <w:rFonts w:cs="Arial"/>
                <w:color w:val="000000"/>
                <w:sz w:val="21"/>
                <w:szCs w:val="21"/>
              </w:rPr>
            </w:pPr>
            <w:r>
              <w:rPr>
                <w:rFonts w:hint="eastAsia" w:cs="华文细黑"/>
                <w:color w:val="000000"/>
                <w:kern w:val="0"/>
                <w:sz w:val="21"/>
                <w:szCs w:val="21"/>
                <w:lang w:bidi="ar"/>
              </w:rPr>
              <w:t>未调整，省厅压占系统面积平差导致差异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152" w:type="dxa"/>
            <w:vMerge w:val="continue"/>
            <w:shd w:val="clear" w:color="auto" w:fill="auto"/>
            <w:vAlign w:val="center"/>
          </w:tcPr>
          <w:p>
            <w:pPr>
              <w:widowControl/>
              <w:snapToGrid w:val="0"/>
              <w:spacing w:line="240" w:lineRule="auto"/>
              <w:ind w:firstLine="0" w:firstLineChars="0"/>
              <w:jc w:val="center"/>
              <w:textAlignment w:val="center"/>
              <w:rPr>
                <w:rFonts w:cs="仿宋_GB2312"/>
                <w:color w:val="000000"/>
                <w:kern w:val="0"/>
                <w:sz w:val="21"/>
                <w:szCs w:val="21"/>
                <w:lang w:bidi="ar"/>
              </w:rPr>
            </w:pPr>
          </w:p>
        </w:tc>
        <w:tc>
          <w:tcPr>
            <w:tcW w:w="1302" w:type="dxa"/>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hint="eastAsia" w:cs="Times New Roman"/>
                <w:color w:val="000000"/>
                <w:kern w:val="0"/>
                <w:sz w:val="21"/>
                <w:szCs w:val="21"/>
                <w:lang w:bidi="ar"/>
              </w:rPr>
              <w:t>地块七</w:t>
            </w:r>
          </w:p>
        </w:tc>
        <w:tc>
          <w:tcPr>
            <w:tcW w:w="1157" w:type="dxa"/>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eastAsia="宋体"/>
                <w:color w:val="000000"/>
                <w:kern w:val="0"/>
                <w:sz w:val="21"/>
                <w:szCs w:val="21"/>
                <w:lang w:bidi="ar"/>
              </w:rPr>
              <w:t>0.2167</w:t>
            </w:r>
          </w:p>
        </w:tc>
        <w:tc>
          <w:tcPr>
            <w:tcW w:w="1157" w:type="dxa"/>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hint="eastAsia"/>
                <w:color w:val="000000"/>
                <w:kern w:val="0"/>
                <w:sz w:val="21"/>
                <w:szCs w:val="21"/>
                <w:lang w:bidi="ar"/>
              </w:rPr>
              <w:t>0</w:t>
            </w:r>
          </w:p>
        </w:tc>
        <w:tc>
          <w:tcPr>
            <w:tcW w:w="1157" w:type="dxa"/>
            <w:shd w:val="clear" w:color="auto" w:fill="auto"/>
            <w:vAlign w:val="center"/>
          </w:tcPr>
          <w:p>
            <w:pPr>
              <w:widowControl/>
              <w:snapToGrid w:val="0"/>
              <w:spacing w:line="240" w:lineRule="auto"/>
              <w:ind w:firstLine="0" w:firstLineChars="0"/>
              <w:jc w:val="center"/>
              <w:textAlignment w:val="center"/>
              <w:rPr>
                <w:rFonts w:cs="华文细黑"/>
                <w:color w:val="000000"/>
                <w:kern w:val="0"/>
                <w:sz w:val="21"/>
                <w:szCs w:val="21"/>
                <w:lang w:bidi="ar"/>
              </w:rPr>
            </w:pPr>
            <w:r>
              <w:rPr>
                <w:rFonts w:hint="eastAsia" w:cs="华文细黑"/>
                <w:color w:val="000000"/>
                <w:kern w:val="0"/>
                <w:sz w:val="21"/>
                <w:szCs w:val="21"/>
                <w:lang w:bidi="ar"/>
              </w:rPr>
              <w:t>-0.2167</w:t>
            </w:r>
          </w:p>
        </w:tc>
        <w:tc>
          <w:tcPr>
            <w:tcW w:w="3094" w:type="dxa"/>
            <w:shd w:val="clear" w:color="auto" w:fill="auto"/>
            <w:vAlign w:val="center"/>
          </w:tcPr>
          <w:p>
            <w:pPr>
              <w:widowControl/>
              <w:snapToGrid w:val="0"/>
              <w:spacing w:line="240" w:lineRule="auto"/>
              <w:ind w:firstLine="0" w:firstLineChars="0"/>
              <w:jc w:val="center"/>
              <w:textAlignment w:val="center"/>
              <w:rPr>
                <w:rFonts w:cs="Arial"/>
                <w:color w:val="000000"/>
                <w:sz w:val="21"/>
                <w:szCs w:val="21"/>
              </w:rPr>
            </w:pPr>
            <w:r>
              <w:rPr>
                <w:rFonts w:hint="eastAsia" w:cs="华文细黑"/>
                <w:color w:val="000000"/>
                <w:kern w:val="0"/>
                <w:sz w:val="21"/>
                <w:szCs w:val="21"/>
                <w:lang w:bidi="ar"/>
              </w:rPr>
              <w:t>东源县梅子大道土地储备项目撤销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152" w:type="dxa"/>
            <w:vMerge w:val="continue"/>
            <w:shd w:val="clear" w:color="auto" w:fill="auto"/>
            <w:vAlign w:val="center"/>
          </w:tcPr>
          <w:p>
            <w:pPr>
              <w:widowControl/>
              <w:snapToGrid w:val="0"/>
              <w:spacing w:line="240" w:lineRule="auto"/>
              <w:ind w:firstLine="0" w:firstLineChars="0"/>
              <w:jc w:val="center"/>
              <w:textAlignment w:val="center"/>
              <w:rPr>
                <w:rFonts w:cs="仿宋_GB2312"/>
                <w:color w:val="000000"/>
                <w:kern w:val="0"/>
                <w:sz w:val="21"/>
                <w:szCs w:val="21"/>
                <w:lang w:bidi="ar"/>
              </w:rPr>
            </w:pPr>
          </w:p>
        </w:tc>
        <w:tc>
          <w:tcPr>
            <w:tcW w:w="1302" w:type="dxa"/>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hint="eastAsia" w:cs="Times New Roman"/>
                <w:color w:val="000000"/>
                <w:kern w:val="0"/>
                <w:sz w:val="21"/>
                <w:szCs w:val="21"/>
                <w:lang w:bidi="ar"/>
              </w:rPr>
              <w:t>地块八</w:t>
            </w:r>
          </w:p>
        </w:tc>
        <w:tc>
          <w:tcPr>
            <w:tcW w:w="1157" w:type="dxa"/>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eastAsia="宋体"/>
                <w:color w:val="000000"/>
                <w:kern w:val="0"/>
                <w:sz w:val="21"/>
                <w:szCs w:val="21"/>
                <w:lang w:bidi="ar"/>
              </w:rPr>
              <w:t>0.0396</w:t>
            </w:r>
          </w:p>
        </w:tc>
        <w:tc>
          <w:tcPr>
            <w:tcW w:w="1157" w:type="dxa"/>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hint="eastAsia"/>
                <w:color w:val="000000"/>
                <w:kern w:val="0"/>
                <w:sz w:val="21"/>
                <w:szCs w:val="21"/>
                <w:lang w:bidi="ar"/>
              </w:rPr>
              <w:t>0.0396</w:t>
            </w:r>
          </w:p>
        </w:tc>
        <w:tc>
          <w:tcPr>
            <w:tcW w:w="1157" w:type="dxa"/>
            <w:shd w:val="clear" w:color="auto" w:fill="auto"/>
            <w:vAlign w:val="center"/>
          </w:tcPr>
          <w:p>
            <w:pPr>
              <w:widowControl/>
              <w:snapToGrid w:val="0"/>
              <w:spacing w:line="240" w:lineRule="auto"/>
              <w:ind w:firstLine="0" w:firstLineChars="0"/>
              <w:jc w:val="center"/>
              <w:textAlignment w:val="center"/>
              <w:rPr>
                <w:rFonts w:cs="华文细黑"/>
                <w:color w:val="000000"/>
                <w:kern w:val="0"/>
                <w:sz w:val="21"/>
                <w:szCs w:val="21"/>
                <w:lang w:bidi="ar"/>
              </w:rPr>
            </w:pPr>
            <w:r>
              <w:rPr>
                <w:rFonts w:hint="eastAsia" w:cs="华文细黑"/>
                <w:color w:val="000000"/>
                <w:kern w:val="0"/>
                <w:sz w:val="21"/>
                <w:szCs w:val="21"/>
                <w:lang w:bidi="ar"/>
              </w:rPr>
              <w:t>0</w:t>
            </w:r>
          </w:p>
        </w:tc>
        <w:tc>
          <w:tcPr>
            <w:tcW w:w="3094" w:type="dxa"/>
            <w:shd w:val="clear" w:color="auto" w:fill="auto"/>
            <w:vAlign w:val="center"/>
          </w:tcPr>
          <w:p>
            <w:pPr>
              <w:widowControl/>
              <w:snapToGrid w:val="0"/>
              <w:spacing w:line="240" w:lineRule="auto"/>
              <w:ind w:firstLine="0" w:firstLineChars="0"/>
              <w:jc w:val="center"/>
              <w:textAlignment w:val="center"/>
              <w:rPr>
                <w:rFonts w:cs="Arial"/>
                <w:color w:val="000000"/>
                <w:sz w:val="21"/>
                <w:szCs w:val="21"/>
              </w:rPr>
            </w:pPr>
            <w:r>
              <w:rPr>
                <w:rFonts w:hint="eastAsia" w:cs="华文细黑"/>
                <w:color w:val="000000"/>
                <w:kern w:val="0"/>
                <w:sz w:val="21"/>
                <w:szCs w:val="21"/>
                <w:lang w:bidi="ar"/>
              </w:rPr>
              <w:t>未调整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152" w:type="dxa"/>
            <w:vMerge w:val="continue"/>
            <w:shd w:val="clear" w:color="auto" w:fill="auto"/>
            <w:vAlign w:val="center"/>
          </w:tcPr>
          <w:p>
            <w:pPr>
              <w:widowControl/>
              <w:snapToGrid w:val="0"/>
              <w:spacing w:line="240" w:lineRule="auto"/>
              <w:ind w:firstLine="0" w:firstLineChars="0"/>
              <w:jc w:val="center"/>
              <w:textAlignment w:val="center"/>
              <w:rPr>
                <w:rFonts w:cs="仿宋_GB2312"/>
                <w:color w:val="000000"/>
                <w:kern w:val="0"/>
                <w:sz w:val="21"/>
                <w:szCs w:val="21"/>
                <w:lang w:bidi="ar"/>
              </w:rPr>
            </w:pPr>
          </w:p>
        </w:tc>
        <w:tc>
          <w:tcPr>
            <w:tcW w:w="1302" w:type="dxa"/>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hint="eastAsia" w:cs="Times New Roman"/>
                <w:color w:val="000000"/>
                <w:kern w:val="0"/>
                <w:sz w:val="21"/>
                <w:szCs w:val="21"/>
                <w:lang w:bidi="ar"/>
              </w:rPr>
              <w:t>地块九</w:t>
            </w:r>
          </w:p>
        </w:tc>
        <w:tc>
          <w:tcPr>
            <w:tcW w:w="1157" w:type="dxa"/>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eastAsia="宋体"/>
                <w:color w:val="000000"/>
                <w:kern w:val="0"/>
                <w:sz w:val="21"/>
                <w:szCs w:val="21"/>
                <w:lang w:bidi="ar"/>
              </w:rPr>
              <w:t>0.0071</w:t>
            </w:r>
          </w:p>
        </w:tc>
        <w:tc>
          <w:tcPr>
            <w:tcW w:w="1157" w:type="dxa"/>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hint="eastAsia"/>
                <w:color w:val="000000"/>
                <w:kern w:val="0"/>
                <w:sz w:val="21"/>
                <w:szCs w:val="21"/>
                <w:lang w:bidi="ar"/>
              </w:rPr>
              <w:t>0.0071</w:t>
            </w:r>
          </w:p>
        </w:tc>
        <w:tc>
          <w:tcPr>
            <w:tcW w:w="1157" w:type="dxa"/>
            <w:shd w:val="clear" w:color="auto" w:fill="auto"/>
            <w:vAlign w:val="center"/>
          </w:tcPr>
          <w:p>
            <w:pPr>
              <w:widowControl/>
              <w:snapToGrid w:val="0"/>
              <w:spacing w:line="240" w:lineRule="auto"/>
              <w:ind w:firstLine="0" w:firstLineChars="0"/>
              <w:jc w:val="center"/>
              <w:textAlignment w:val="center"/>
              <w:rPr>
                <w:rFonts w:cs="华文细黑"/>
                <w:color w:val="000000"/>
                <w:kern w:val="0"/>
                <w:sz w:val="21"/>
                <w:szCs w:val="21"/>
                <w:lang w:bidi="ar"/>
              </w:rPr>
            </w:pPr>
            <w:r>
              <w:rPr>
                <w:rFonts w:hint="eastAsia" w:cs="华文细黑"/>
                <w:color w:val="000000"/>
                <w:kern w:val="0"/>
                <w:sz w:val="21"/>
                <w:szCs w:val="21"/>
                <w:lang w:bidi="ar"/>
              </w:rPr>
              <w:t>0</w:t>
            </w:r>
          </w:p>
        </w:tc>
        <w:tc>
          <w:tcPr>
            <w:tcW w:w="3094" w:type="dxa"/>
            <w:shd w:val="clear" w:color="auto" w:fill="auto"/>
            <w:vAlign w:val="center"/>
          </w:tcPr>
          <w:p>
            <w:pPr>
              <w:widowControl/>
              <w:snapToGrid w:val="0"/>
              <w:spacing w:line="240" w:lineRule="auto"/>
              <w:ind w:firstLine="0" w:firstLineChars="0"/>
              <w:jc w:val="center"/>
              <w:textAlignment w:val="center"/>
              <w:rPr>
                <w:rFonts w:cs="Arial"/>
                <w:color w:val="000000"/>
                <w:sz w:val="21"/>
                <w:szCs w:val="21"/>
              </w:rPr>
            </w:pPr>
            <w:r>
              <w:rPr>
                <w:rFonts w:hint="eastAsia" w:cs="华文细黑"/>
                <w:color w:val="000000"/>
                <w:kern w:val="0"/>
                <w:sz w:val="21"/>
                <w:szCs w:val="21"/>
                <w:lang w:bidi="ar"/>
              </w:rPr>
              <w:t>未调整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152" w:type="dxa"/>
            <w:vMerge w:val="restart"/>
            <w:shd w:val="clear" w:color="auto" w:fill="auto"/>
            <w:vAlign w:val="center"/>
          </w:tcPr>
          <w:p>
            <w:pPr>
              <w:widowControl/>
              <w:snapToGrid w:val="0"/>
              <w:spacing w:line="240" w:lineRule="auto"/>
              <w:ind w:firstLine="0" w:firstLineChars="0"/>
              <w:jc w:val="center"/>
              <w:textAlignment w:val="center"/>
              <w:rPr>
                <w:rFonts w:cs="仿宋_GB2312"/>
                <w:color w:val="000000"/>
                <w:sz w:val="21"/>
                <w:szCs w:val="21"/>
              </w:rPr>
            </w:pPr>
            <w:r>
              <w:rPr>
                <w:rFonts w:hint="eastAsia" w:cs="仿宋_GB2312"/>
                <w:color w:val="000000"/>
                <w:kern w:val="0"/>
                <w:sz w:val="21"/>
                <w:szCs w:val="21"/>
                <w:lang w:bidi="ar"/>
              </w:rPr>
              <w:t>灯塔片区</w:t>
            </w:r>
          </w:p>
        </w:tc>
        <w:tc>
          <w:tcPr>
            <w:tcW w:w="1302" w:type="dxa"/>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hint="eastAsia" w:cs="Times New Roman"/>
                <w:color w:val="000000"/>
                <w:kern w:val="0"/>
                <w:sz w:val="21"/>
                <w:szCs w:val="21"/>
                <w:lang w:bidi="ar"/>
              </w:rPr>
              <w:t>地块十</w:t>
            </w:r>
          </w:p>
        </w:tc>
        <w:tc>
          <w:tcPr>
            <w:tcW w:w="1157" w:type="dxa"/>
            <w:shd w:val="clear" w:color="auto" w:fill="auto"/>
            <w:vAlign w:val="center"/>
          </w:tcPr>
          <w:p>
            <w:pPr>
              <w:widowControl/>
              <w:snapToGrid w:val="0"/>
              <w:spacing w:line="240" w:lineRule="auto"/>
              <w:ind w:firstLine="0" w:firstLineChars="0"/>
              <w:jc w:val="center"/>
              <w:textAlignment w:val="center"/>
              <w:rPr>
                <w:rFonts w:cs="Times New Roman"/>
                <w:color w:val="000000"/>
                <w:sz w:val="21"/>
                <w:szCs w:val="21"/>
              </w:rPr>
            </w:pPr>
            <w:r>
              <w:rPr>
                <w:rFonts w:eastAsia="宋体"/>
                <w:color w:val="000000"/>
                <w:kern w:val="0"/>
                <w:sz w:val="21"/>
                <w:szCs w:val="21"/>
                <w:lang w:bidi="ar"/>
              </w:rPr>
              <w:t>1.7882</w:t>
            </w:r>
          </w:p>
        </w:tc>
        <w:tc>
          <w:tcPr>
            <w:tcW w:w="1157" w:type="dxa"/>
            <w:shd w:val="clear" w:color="auto" w:fill="auto"/>
            <w:vAlign w:val="center"/>
          </w:tcPr>
          <w:p>
            <w:pPr>
              <w:widowControl/>
              <w:snapToGrid w:val="0"/>
              <w:spacing w:line="240" w:lineRule="auto"/>
              <w:ind w:firstLine="0" w:firstLineChars="0"/>
              <w:jc w:val="center"/>
              <w:textAlignment w:val="center"/>
              <w:rPr>
                <w:rFonts w:hint="eastAsia" w:eastAsia="仿宋_GB2312" w:cs="Times New Roman"/>
                <w:color w:val="000000"/>
                <w:sz w:val="21"/>
                <w:szCs w:val="21"/>
                <w:lang w:val="en-US" w:eastAsia="zh-CN"/>
              </w:rPr>
            </w:pPr>
            <w:r>
              <w:rPr>
                <w:rFonts w:hint="eastAsia" w:cs="Times New Roman"/>
                <w:color w:val="000000"/>
                <w:sz w:val="21"/>
                <w:szCs w:val="21"/>
              </w:rPr>
              <w:t>3.923</w:t>
            </w:r>
            <w:r>
              <w:rPr>
                <w:rFonts w:hint="eastAsia" w:cs="Times New Roman"/>
                <w:color w:val="000000"/>
                <w:sz w:val="21"/>
                <w:szCs w:val="21"/>
                <w:lang w:val="en-US" w:eastAsia="zh-CN"/>
              </w:rPr>
              <w:t>0</w:t>
            </w:r>
          </w:p>
        </w:tc>
        <w:tc>
          <w:tcPr>
            <w:tcW w:w="1157" w:type="dxa"/>
            <w:shd w:val="clear" w:color="auto" w:fill="auto"/>
            <w:vAlign w:val="center"/>
          </w:tcPr>
          <w:p>
            <w:pPr>
              <w:widowControl/>
              <w:snapToGrid w:val="0"/>
              <w:spacing w:line="240" w:lineRule="auto"/>
              <w:ind w:firstLine="0" w:firstLineChars="0"/>
              <w:jc w:val="center"/>
              <w:textAlignment w:val="center"/>
              <w:rPr>
                <w:rFonts w:cs="华文细黑"/>
                <w:color w:val="000000"/>
                <w:sz w:val="21"/>
                <w:szCs w:val="21"/>
              </w:rPr>
            </w:pPr>
            <w:r>
              <w:rPr>
                <w:rFonts w:hint="eastAsia" w:cs="华文细黑"/>
                <w:color w:val="000000"/>
                <w:sz w:val="21"/>
                <w:szCs w:val="21"/>
              </w:rPr>
              <w:t>2.1348</w:t>
            </w:r>
          </w:p>
        </w:tc>
        <w:tc>
          <w:tcPr>
            <w:tcW w:w="3094" w:type="dxa"/>
            <w:shd w:val="clear" w:color="auto" w:fill="auto"/>
            <w:vAlign w:val="center"/>
          </w:tcPr>
          <w:p>
            <w:pPr>
              <w:widowControl/>
              <w:snapToGrid w:val="0"/>
              <w:spacing w:line="240" w:lineRule="auto"/>
              <w:ind w:firstLine="0" w:firstLineChars="0"/>
              <w:jc w:val="center"/>
              <w:textAlignment w:val="center"/>
              <w:rPr>
                <w:rFonts w:cs="Arial"/>
                <w:color w:val="000000"/>
                <w:sz w:val="21"/>
                <w:szCs w:val="21"/>
              </w:rPr>
            </w:pPr>
            <w:r>
              <w:rPr>
                <w:rFonts w:hint="eastAsia" w:cs="Arial"/>
                <w:color w:val="000000"/>
                <w:sz w:val="21"/>
                <w:szCs w:val="21"/>
              </w:rPr>
              <w:t>东源县灯塔镇空气液化建设项目撤销；增设东源县灯塔镇陶瓷厂建设项目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152" w:type="dxa"/>
            <w:vMerge w:val="continue"/>
            <w:shd w:val="clear" w:color="auto" w:fill="auto"/>
            <w:vAlign w:val="center"/>
          </w:tcPr>
          <w:p>
            <w:pPr>
              <w:widowControl/>
              <w:snapToGrid w:val="0"/>
              <w:spacing w:line="240" w:lineRule="auto"/>
              <w:ind w:firstLine="0" w:firstLineChars="0"/>
              <w:jc w:val="center"/>
              <w:textAlignment w:val="center"/>
              <w:rPr>
                <w:rFonts w:cs="仿宋_GB2312"/>
                <w:color w:val="000000"/>
                <w:kern w:val="0"/>
                <w:sz w:val="21"/>
                <w:szCs w:val="21"/>
                <w:lang w:bidi="ar"/>
              </w:rPr>
            </w:pPr>
          </w:p>
        </w:tc>
        <w:tc>
          <w:tcPr>
            <w:tcW w:w="1302" w:type="dxa"/>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hint="eastAsia" w:cs="Times New Roman"/>
                <w:color w:val="000000"/>
                <w:kern w:val="0"/>
                <w:sz w:val="21"/>
                <w:szCs w:val="21"/>
                <w:lang w:bidi="ar"/>
              </w:rPr>
              <w:t>地块十一</w:t>
            </w:r>
          </w:p>
        </w:tc>
        <w:tc>
          <w:tcPr>
            <w:tcW w:w="1157" w:type="dxa"/>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eastAsia="宋体"/>
                <w:color w:val="000000"/>
                <w:kern w:val="0"/>
                <w:sz w:val="21"/>
                <w:szCs w:val="21"/>
                <w:lang w:bidi="ar"/>
              </w:rPr>
              <w:t>1.7882</w:t>
            </w:r>
          </w:p>
        </w:tc>
        <w:tc>
          <w:tcPr>
            <w:tcW w:w="1157" w:type="dxa"/>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hint="eastAsia"/>
                <w:color w:val="000000"/>
                <w:kern w:val="0"/>
                <w:sz w:val="21"/>
                <w:szCs w:val="21"/>
                <w:lang w:bidi="ar"/>
              </w:rPr>
              <w:t>1.7886</w:t>
            </w:r>
          </w:p>
        </w:tc>
        <w:tc>
          <w:tcPr>
            <w:tcW w:w="1157" w:type="dxa"/>
            <w:shd w:val="clear" w:color="auto" w:fill="auto"/>
            <w:vAlign w:val="center"/>
          </w:tcPr>
          <w:p>
            <w:pPr>
              <w:widowControl/>
              <w:snapToGrid w:val="0"/>
              <w:spacing w:line="240" w:lineRule="auto"/>
              <w:ind w:firstLine="0" w:firstLineChars="0"/>
              <w:jc w:val="center"/>
              <w:textAlignment w:val="center"/>
              <w:rPr>
                <w:rFonts w:cs="华文细黑"/>
                <w:color w:val="000000"/>
                <w:kern w:val="0"/>
                <w:sz w:val="21"/>
                <w:szCs w:val="21"/>
                <w:lang w:bidi="ar"/>
              </w:rPr>
            </w:pPr>
            <w:r>
              <w:rPr>
                <w:rFonts w:hint="eastAsia" w:cs="华文细黑"/>
                <w:color w:val="000000"/>
                <w:kern w:val="0"/>
                <w:sz w:val="21"/>
                <w:szCs w:val="21"/>
                <w:lang w:bidi="ar"/>
              </w:rPr>
              <w:t>0.0004</w:t>
            </w:r>
          </w:p>
        </w:tc>
        <w:tc>
          <w:tcPr>
            <w:tcW w:w="3094" w:type="dxa"/>
            <w:shd w:val="clear" w:color="auto" w:fill="auto"/>
            <w:vAlign w:val="center"/>
          </w:tcPr>
          <w:p>
            <w:pPr>
              <w:widowControl/>
              <w:snapToGrid w:val="0"/>
              <w:spacing w:line="240" w:lineRule="auto"/>
              <w:ind w:firstLine="0" w:firstLineChars="0"/>
              <w:jc w:val="center"/>
              <w:textAlignment w:val="center"/>
              <w:rPr>
                <w:rFonts w:cs="Arial"/>
                <w:color w:val="000000"/>
                <w:sz w:val="21"/>
                <w:szCs w:val="21"/>
                <w:highlight w:val="yellow"/>
              </w:rPr>
            </w:pPr>
            <w:r>
              <w:rPr>
                <w:rFonts w:hint="eastAsia" w:cs="华文细黑"/>
                <w:color w:val="000000"/>
                <w:kern w:val="0"/>
                <w:sz w:val="21"/>
                <w:szCs w:val="21"/>
                <w:lang w:bidi="ar"/>
              </w:rPr>
              <w:t>未调整，省厅压占系统面积平差导致差异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152" w:type="dxa"/>
            <w:vMerge w:val="continue"/>
            <w:shd w:val="clear" w:color="auto" w:fill="auto"/>
            <w:vAlign w:val="center"/>
          </w:tcPr>
          <w:p>
            <w:pPr>
              <w:widowControl/>
              <w:snapToGrid w:val="0"/>
              <w:spacing w:line="240" w:lineRule="auto"/>
              <w:ind w:firstLine="0" w:firstLineChars="0"/>
              <w:jc w:val="center"/>
              <w:textAlignment w:val="center"/>
              <w:rPr>
                <w:rFonts w:cs="仿宋_GB2312"/>
                <w:color w:val="000000"/>
                <w:kern w:val="0"/>
                <w:sz w:val="21"/>
                <w:szCs w:val="21"/>
                <w:lang w:bidi="ar"/>
              </w:rPr>
            </w:pPr>
          </w:p>
        </w:tc>
        <w:tc>
          <w:tcPr>
            <w:tcW w:w="1302" w:type="dxa"/>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hint="eastAsia" w:cs="Times New Roman"/>
                <w:color w:val="000000"/>
                <w:kern w:val="0"/>
                <w:sz w:val="21"/>
                <w:szCs w:val="21"/>
                <w:lang w:bidi="ar"/>
              </w:rPr>
              <w:t>地块十二</w:t>
            </w:r>
          </w:p>
        </w:tc>
        <w:tc>
          <w:tcPr>
            <w:tcW w:w="1157" w:type="dxa"/>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eastAsia="宋体"/>
                <w:color w:val="000000"/>
                <w:kern w:val="0"/>
                <w:sz w:val="21"/>
                <w:szCs w:val="21"/>
                <w:lang w:bidi="ar"/>
              </w:rPr>
              <w:t>1.3741</w:t>
            </w:r>
          </w:p>
        </w:tc>
        <w:tc>
          <w:tcPr>
            <w:tcW w:w="1157" w:type="dxa"/>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hint="eastAsia" w:cs="Times New Roman"/>
                <w:color w:val="000000"/>
                <w:kern w:val="0"/>
                <w:sz w:val="21"/>
                <w:szCs w:val="21"/>
                <w:lang w:bidi="ar"/>
              </w:rPr>
              <w:t>0</w:t>
            </w:r>
          </w:p>
        </w:tc>
        <w:tc>
          <w:tcPr>
            <w:tcW w:w="1157" w:type="dxa"/>
            <w:shd w:val="clear" w:color="auto" w:fill="auto"/>
            <w:vAlign w:val="center"/>
          </w:tcPr>
          <w:p>
            <w:pPr>
              <w:widowControl/>
              <w:snapToGrid w:val="0"/>
              <w:spacing w:line="240" w:lineRule="auto"/>
              <w:ind w:firstLine="0" w:firstLineChars="0"/>
              <w:jc w:val="center"/>
              <w:textAlignment w:val="center"/>
              <w:rPr>
                <w:rFonts w:cs="华文细黑"/>
                <w:color w:val="000000"/>
                <w:kern w:val="0"/>
                <w:sz w:val="21"/>
                <w:szCs w:val="21"/>
                <w:lang w:bidi="ar"/>
              </w:rPr>
            </w:pPr>
            <w:r>
              <w:rPr>
                <w:rFonts w:hint="eastAsia" w:cs="华文细黑"/>
                <w:color w:val="000000"/>
                <w:kern w:val="0"/>
                <w:sz w:val="21"/>
                <w:szCs w:val="21"/>
                <w:lang w:bidi="ar"/>
              </w:rPr>
              <w:t>-1.3741</w:t>
            </w:r>
          </w:p>
        </w:tc>
        <w:tc>
          <w:tcPr>
            <w:tcW w:w="3094" w:type="dxa"/>
            <w:shd w:val="clear" w:color="auto" w:fill="auto"/>
            <w:vAlign w:val="center"/>
          </w:tcPr>
          <w:p>
            <w:pPr>
              <w:widowControl/>
              <w:snapToGrid w:val="0"/>
              <w:spacing w:line="240" w:lineRule="auto"/>
              <w:ind w:firstLine="0" w:firstLineChars="0"/>
              <w:jc w:val="center"/>
              <w:textAlignment w:val="center"/>
              <w:rPr>
                <w:rFonts w:cs="Arial"/>
                <w:color w:val="000000"/>
                <w:sz w:val="21"/>
                <w:szCs w:val="21"/>
              </w:rPr>
            </w:pPr>
            <w:r>
              <w:rPr>
                <w:rFonts w:hint="eastAsia" w:cs="华文细黑"/>
                <w:color w:val="000000"/>
                <w:kern w:val="0"/>
                <w:sz w:val="21"/>
                <w:szCs w:val="21"/>
                <w:lang w:bidi="ar"/>
              </w:rPr>
              <w:t>东源县灯塔镇机动车辆安全技术检测站建设项目撤销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152" w:type="dxa"/>
            <w:vMerge w:val="restart"/>
            <w:shd w:val="clear" w:color="auto" w:fill="auto"/>
            <w:vAlign w:val="center"/>
          </w:tcPr>
          <w:p>
            <w:pPr>
              <w:widowControl/>
              <w:snapToGrid w:val="0"/>
              <w:spacing w:line="240" w:lineRule="auto"/>
              <w:ind w:firstLine="0" w:firstLineChars="0"/>
              <w:jc w:val="center"/>
              <w:textAlignment w:val="center"/>
              <w:rPr>
                <w:rFonts w:cs="仿宋_GB2312"/>
                <w:color w:val="000000"/>
                <w:sz w:val="21"/>
                <w:szCs w:val="21"/>
              </w:rPr>
            </w:pPr>
            <w:r>
              <w:rPr>
                <w:rFonts w:hint="eastAsia" w:cs="仿宋_GB2312"/>
                <w:color w:val="000000"/>
                <w:kern w:val="0"/>
                <w:sz w:val="21"/>
                <w:szCs w:val="21"/>
                <w:lang w:bidi="ar"/>
              </w:rPr>
              <w:t>骆湖片区</w:t>
            </w:r>
          </w:p>
        </w:tc>
        <w:tc>
          <w:tcPr>
            <w:tcW w:w="1302" w:type="dxa"/>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hint="eastAsia" w:cs="Times New Roman"/>
                <w:color w:val="000000"/>
                <w:kern w:val="0"/>
                <w:sz w:val="21"/>
                <w:szCs w:val="21"/>
                <w:lang w:bidi="ar"/>
              </w:rPr>
              <w:t>地块十三</w:t>
            </w:r>
          </w:p>
        </w:tc>
        <w:tc>
          <w:tcPr>
            <w:tcW w:w="1157" w:type="dxa"/>
            <w:shd w:val="clear" w:color="auto" w:fill="auto"/>
            <w:vAlign w:val="center"/>
          </w:tcPr>
          <w:p>
            <w:pPr>
              <w:widowControl/>
              <w:snapToGrid w:val="0"/>
              <w:spacing w:line="240" w:lineRule="auto"/>
              <w:ind w:firstLine="0" w:firstLineChars="0"/>
              <w:jc w:val="center"/>
              <w:textAlignment w:val="center"/>
              <w:rPr>
                <w:rFonts w:cs="Times New Roman"/>
                <w:color w:val="000000"/>
                <w:sz w:val="21"/>
                <w:szCs w:val="21"/>
              </w:rPr>
            </w:pPr>
            <w:r>
              <w:rPr>
                <w:rFonts w:eastAsia="宋体"/>
                <w:color w:val="000000"/>
                <w:kern w:val="0"/>
                <w:sz w:val="21"/>
                <w:szCs w:val="21"/>
                <w:lang w:bidi="ar"/>
              </w:rPr>
              <w:t>7.9261</w:t>
            </w:r>
          </w:p>
        </w:tc>
        <w:tc>
          <w:tcPr>
            <w:tcW w:w="1157" w:type="dxa"/>
            <w:shd w:val="clear" w:color="auto" w:fill="auto"/>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olor w:val="000000"/>
                <w:sz w:val="21"/>
                <w:szCs w:val="21"/>
              </w:rPr>
              <w:t>7.9204</w:t>
            </w:r>
          </w:p>
        </w:tc>
        <w:tc>
          <w:tcPr>
            <w:tcW w:w="1157" w:type="dxa"/>
            <w:shd w:val="clear" w:color="auto" w:fill="auto"/>
            <w:vAlign w:val="center"/>
          </w:tcPr>
          <w:p>
            <w:pPr>
              <w:widowControl/>
              <w:snapToGrid w:val="0"/>
              <w:spacing w:line="240" w:lineRule="auto"/>
              <w:ind w:firstLine="0" w:firstLineChars="0"/>
              <w:jc w:val="center"/>
              <w:textAlignment w:val="center"/>
              <w:rPr>
                <w:rFonts w:cs="华文细黑"/>
                <w:color w:val="000000"/>
                <w:sz w:val="21"/>
                <w:szCs w:val="21"/>
              </w:rPr>
            </w:pPr>
            <w:r>
              <w:rPr>
                <w:rFonts w:hint="eastAsia" w:cs="华文细黑"/>
                <w:color w:val="000000"/>
                <w:kern w:val="0"/>
                <w:sz w:val="21"/>
                <w:szCs w:val="21"/>
                <w:lang w:bidi="ar"/>
              </w:rPr>
              <w:t>-0.0057</w:t>
            </w:r>
          </w:p>
        </w:tc>
        <w:tc>
          <w:tcPr>
            <w:tcW w:w="3094" w:type="dxa"/>
            <w:shd w:val="clear" w:color="auto" w:fill="auto"/>
            <w:vAlign w:val="center"/>
          </w:tcPr>
          <w:p>
            <w:pPr>
              <w:widowControl/>
              <w:snapToGrid w:val="0"/>
              <w:spacing w:line="240" w:lineRule="auto"/>
              <w:ind w:firstLine="0" w:firstLineChars="0"/>
              <w:jc w:val="center"/>
              <w:textAlignment w:val="center"/>
              <w:rPr>
                <w:rFonts w:cs="华文细黑"/>
                <w:color w:val="000000"/>
                <w:sz w:val="21"/>
                <w:szCs w:val="21"/>
              </w:rPr>
            </w:pPr>
            <w:r>
              <w:rPr>
                <w:rFonts w:hint="eastAsia" w:cs="华文细黑"/>
                <w:color w:val="000000"/>
                <w:kern w:val="0"/>
                <w:sz w:val="21"/>
                <w:szCs w:val="21"/>
                <w:lang w:bidi="ar"/>
              </w:rPr>
              <w:t>项目选址范围缩小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152" w:type="dxa"/>
            <w:vMerge w:val="continue"/>
            <w:shd w:val="clear" w:color="auto" w:fill="auto"/>
            <w:vAlign w:val="center"/>
          </w:tcPr>
          <w:p>
            <w:pPr>
              <w:widowControl/>
              <w:snapToGrid w:val="0"/>
              <w:spacing w:line="240" w:lineRule="auto"/>
              <w:ind w:firstLine="0" w:firstLineChars="0"/>
              <w:jc w:val="center"/>
              <w:textAlignment w:val="center"/>
              <w:rPr>
                <w:rFonts w:cs="仿宋_GB2312"/>
                <w:color w:val="000000"/>
                <w:kern w:val="0"/>
                <w:sz w:val="21"/>
                <w:szCs w:val="21"/>
                <w:lang w:bidi="ar"/>
              </w:rPr>
            </w:pPr>
          </w:p>
        </w:tc>
        <w:tc>
          <w:tcPr>
            <w:tcW w:w="1302" w:type="dxa"/>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hint="eastAsia" w:cs="Times New Roman"/>
                <w:color w:val="000000"/>
                <w:kern w:val="0"/>
                <w:sz w:val="21"/>
                <w:szCs w:val="21"/>
                <w:lang w:bidi="ar"/>
              </w:rPr>
              <w:t>地块十四</w:t>
            </w:r>
          </w:p>
        </w:tc>
        <w:tc>
          <w:tcPr>
            <w:tcW w:w="1157" w:type="dxa"/>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eastAsia="宋体"/>
                <w:color w:val="000000"/>
                <w:kern w:val="0"/>
                <w:sz w:val="21"/>
                <w:szCs w:val="21"/>
                <w:lang w:bidi="ar"/>
              </w:rPr>
              <w:t>1.3326</w:t>
            </w:r>
          </w:p>
        </w:tc>
        <w:tc>
          <w:tcPr>
            <w:tcW w:w="1157" w:type="dxa"/>
            <w:shd w:val="clear" w:color="auto" w:fill="auto"/>
            <w:vAlign w:val="center"/>
          </w:tcPr>
          <w:p>
            <w:pPr>
              <w:widowControl/>
              <w:snapToGrid w:val="0"/>
              <w:spacing w:line="240" w:lineRule="auto"/>
              <w:ind w:firstLine="0" w:firstLineChars="0"/>
              <w:jc w:val="center"/>
              <w:textAlignment w:val="center"/>
              <w:rPr>
                <w:rFonts w:cs="Times New Roman"/>
                <w:color w:val="000000"/>
                <w:kern w:val="0"/>
                <w:sz w:val="21"/>
                <w:szCs w:val="21"/>
                <w:lang w:bidi="ar"/>
              </w:rPr>
            </w:pPr>
            <w:r>
              <w:rPr>
                <w:rFonts w:hint="eastAsia"/>
                <w:color w:val="000000"/>
                <w:kern w:val="0"/>
                <w:sz w:val="21"/>
                <w:szCs w:val="21"/>
                <w:lang w:bidi="ar"/>
              </w:rPr>
              <w:t>0.3867</w:t>
            </w:r>
          </w:p>
        </w:tc>
        <w:tc>
          <w:tcPr>
            <w:tcW w:w="1157" w:type="dxa"/>
            <w:shd w:val="clear" w:color="auto" w:fill="auto"/>
            <w:vAlign w:val="center"/>
          </w:tcPr>
          <w:p>
            <w:pPr>
              <w:widowControl/>
              <w:snapToGrid w:val="0"/>
              <w:spacing w:line="240" w:lineRule="auto"/>
              <w:ind w:firstLine="0" w:firstLineChars="0"/>
              <w:jc w:val="center"/>
              <w:textAlignment w:val="center"/>
              <w:rPr>
                <w:rFonts w:cs="华文细黑"/>
                <w:color w:val="000000"/>
                <w:kern w:val="0"/>
                <w:sz w:val="21"/>
                <w:szCs w:val="21"/>
                <w:lang w:bidi="ar"/>
              </w:rPr>
            </w:pPr>
            <w:r>
              <w:rPr>
                <w:rFonts w:hint="eastAsia" w:cs="华文细黑"/>
                <w:color w:val="000000"/>
                <w:kern w:val="0"/>
                <w:sz w:val="21"/>
                <w:szCs w:val="21"/>
                <w:lang w:bidi="ar"/>
              </w:rPr>
              <w:t>-0.9459</w:t>
            </w:r>
          </w:p>
        </w:tc>
        <w:tc>
          <w:tcPr>
            <w:tcW w:w="3094" w:type="dxa"/>
            <w:shd w:val="clear" w:color="auto" w:fill="auto"/>
            <w:vAlign w:val="center"/>
          </w:tcPr>
          <w:p>
            <w:pPr>
              <w:widowControl/>
              <w:snapToGrid w:val="0"/>
              <w:spacing w:line="240" w:lineRule="auto"/>
              <w:ind w:firstLine="0" w:firstLineChars="0"/>
              <w:jc w:val="center"/>
              <w:textAlignment w:val="center"/>
              <w:rPr>
                <w:rFonts w:cs="华文细黑"/>
                <w:color w:val="000000"/>
                <w:kern w:val="0"/>
                <w:sz w:val="21"/>
                <w:szCs w:val="21"/>
                <w:lang w:bidi="ar"/>
              </w:rPr>
            </w:pPr>
            <w:r>
              <w:rPr>
                <w:rFonts w:hint="eastAsia" w:cs="华文细黑"/>
                <w:color w:val="000000"/>
                <w:kern w:val="0"/>
                <w:sz w:val="21"/>
                <w:szCs w:val="21"/>
                <w:lang w:bidi="ar"/>
              </w:rPr>
              <w:t>东源县骆湖镇商品混凝土建设项目范围减小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152" w:type="dxa"/>
            <w:vMerge w:val="restart"/>
            <w:shd w:val="clear" w:color="auto" w:fill="auto"/>
            <w:vAlign w:val="center"/>
          </w:tcPr>
          <w:p>
            <w:pPr>
              <w:widowControl/>
              <w:snapToGrid w:val="0"/>
              <w:spacing w:line="240" w:lineRule="auto"/>
              <w:ind w:firstLine="0" w:firstLineChars="0"/>
              <w:jc w:val="center"/>
              <w:textAlignment w:val="center"/>
              <w:rPr>
                <w:rFonts w:cs="仿宋_GB2312"/>
                <w:color w:val="000000"/>
                <w:sz w:val="21"/>
                <w:szCs w:val="21"/>
              </w:rPr>
            </w:pPr>
            <w:r>
              <w:rPr>
                <w:rFonts w:hint="eastAsia" w:cs="仿宋_GB2312"/>
                <w:color w:val="000000"/>
                <w:kern w:val="0"/>
                <w:sz w:val="21"/>
                <w:szCs w:val="21"/>
                <w:lang w:bidi="ar"/>
              </w:rPr>
              <w:t>农高核心区片区</w:t>
            </w:r>
          </w:p>
        </w:tc>
        <w:tc>
          <w:tcPr>
            <w:tcW w:w="1302" w:type="dxa"/>
            <w:shd w:val="clear" w:color="auto" w:fill="auto"/>
            <w:vAlign w:val="center"/>
          </w:tcPr>
          <w:p>
            <w:pPr>
              <w:widowControl/>
              <w:snapToGrid w:val="0"/>
              <w:spacing w:line="240" w:lineRule="auto"/>
              <w:ind w:firstLine="0" w:firstLineChars="0"/>
              <w:jc w:val="center"/>
              <w:textAlignment w:val="center"/>
              <w:rPr>
                <w:rFonts w:cs="仿宋_GB2312"/>
                <w:color w:val="000000"/>
                <w:kern w:val="0"/>
                <w:sz w:val="21"/>
                <w:szCs w:val="21"/>
                <w:lang w:bidi="ar"/>
              </w:rPr>
            </w:pPr>
            <w:r>
              <w:rPr>
                <w:rFonts w:hint="eastAsia" w:cs="仿宋_GB2312"/>
                <w:color w:val="000000"/>
                <w:kern w:val="0"/>
                <w:sz w:val="21"/>
                <w:szCs w:val="21"/>
                <w:lang w:bidi="ar"/>
              </w:rPr>
              <w:t>地块十五</w:t>
            </w:r>
          </w:p>
        </w:tc>
        <w:tc>
          <w:tcPr>
            <w:tcW w:w="1157" w:type="dxa"/>
            <w:shd w:val="clear" w:color="auto" w:fill="auto"/>
            <w:vAlign w:val="center"/>
          </w:tcPr>
          <w:p>
            <w:pPr>
              <w:widowControl/>
              <w:snapToGrid w:val="0"/>
              <w:spacing w:line="240" w:lineRule="auto"/>
              <w:ind w:firstLine="0" w:firstLineChars="0"/>
              <w:jc w:val="center"/>
              <w:textAlignment w:val="center"/>
              <w:rPr>
                <w:rFonts w:cs="仿宋_GB2312"/>
                <w:color w:val="000000"/>
                <w:sz w:val="21"/>
                <w:szCs w:val="21"/>
              </w:rPr>
            </w:pPr>
            <w:r>
              <w:rPr>
                <w:rFonts w:eastAsia="宋体"/>
                <w:color w:val="000000"/>
                <w:kern w:val="0"/>
                <w:sz w:val="21"/>
                <w:szCs w:val="21"/>
                <w:lang w:bidi="ar"/>
              </w:rPr>
              <w:t>1.3366</w:t>
            </w:r>
          </w:p>
        </w:tc>
        <w:tc>
          <w:tcPr>
            <w:tcW w:w="1157" w:type="dxa"/>
            <w:shd w:val="clear" w:color="auto" w:fill="auto"/>
            <w:noWrap/>
            <w:vAlign w:val="center"/>
          </w:tcPr>
          <w:p>
            <w:pPr>
              <w:widowControl/>
              <w:snapToGrid w:val="0"/>
              <w:spacing w:line="240" w:lineRule="auto"/>
              <w:ind w:firstLine="0" w:firstLineChars="0"/>
              <w:jc w:val="center"/>
              <w:rPr>
                <w:rFonts w:cs="宋体"/>
                <w:color w:val="000000"/>
                <w:sz w:val="21"/>
                <w:szCs w:val="21"/>
              </w:rPr>
            </w:pPr>
            <w:r>
              <w:rPr>
                <w:rFonts w:hint="eastAsia" w:cs="宋体"/>
                <w:color w:val="000000"/>
                <w:sz w:val="21"/>
                <w:szCs w:val="21"/>
              </w:rPr>
              <w:t>0</w:t>
            </w:r>
          </w:p>
        </w:tc>
        <w:tc>
          <w:tcPr>
            <w:tcW w:w="1157" w:type="dxa"/>
            <w:shd w:val="clear" w:color="auto" w:fill="auto"/>
            <w:noWrap/>
            <w:vAlign w:val="center"/>
          </w:tcPr>
          <w:p>
            <w:pPr>
              <w:widowControl/>
              <w:snapToGrid w:val="0"/>
              <w:spacing w:line="240" w:lineRule="auto"/>
              <w:ind w:firstLine="0" w:firstLineChars="0"/>
              <w:jc w:val="center"/>
              <w:textAlignment w:val="center"/>
              <w:rPr>
                <w:rFonts w:cs="宋体"/>
                <w:color w:val="000000"/>
                <w:sz w:val="21"/>
                <w:szCs w:val="21"/>
              </w:rPr>
            </w:pPr>
            <w:r>
              <w:rPr>
                <w:rFonts w:hint="eastAsia" w:cs="宋体"/>
                <w:color w:val="000000"/>
                <w:kern w:val="0"/>
                <w:sz w:val="21"/>
                <w:szCs w:val="21"/>
                <w:lang w:bidi="ar"/>
              </w:rPr>
              <w:t>-1.3366</w:t>
            </w:r>
          </w:p>
        </w:tc>
        <w:tc>
          <w:tcPr>
            <w:tcW w:w="3094" w:type="dxa"/>
            <w:shd w:val="clear" w:color="auto" w:fill="auto"/>
            <w:vAlign w:val="center"/>
          </w:tcPr>
          <w:p>
            <w:pPr>
              <w:widowControl/>
              <w:snapToGrid w:val="0"/>
              <w:spacing w:line="240" w:lineRule="auto"/>
              <w:ind w:firstLine="0" w:firstLineChars="0"/>
              <w:jc w:val="center"/>
              <w:textAlignment w:val="center"/>
              <w:rPr>
                <w:rFonts w:cs="宋体"/>
                <w:color w:val="000000"/>
                <w:sz w:val="21"/>
                <w:szCs w:val="21"/>
              </w:rPr>
            </w:pPr>
            <w:r>
              <w:rPr>
                <w:rFonts w:hint="eastAsia" w:cs="宋体"/>
                <w:color w:val="000000"/>
                <w:kern w:val="0"/>
                <w:sz w:val="21"/>
                <w:szCs w:val="21"/>
                <w:lang w:bidi="ar"/>
              </w:rPr>
              <w:t>河源市灯塔盆地农高区核心区（首期、二期）项目范围减小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152" w:type="dxa"/>
            <w:vMerge w:val="continue"/>
            <w:shd w:val="clear" w:color="auto" w:fill="auto"/>
            <w:vAlign w:val="center"/>
          </w:tcPr>
          <w:p>
            <w:pPr>
              <w:widowControl/>
              <w:snapToGrid w:val="0"/>
              <w:spacing w:line="240" w:lineRule="auto"/>
              <w:ind w:firstLine="0" w:firstLineChars="0"/>
              <w:jc w:val="center"/>
              <w:textAlignment w:val="center"/>
              <w:rPr>
                <w:rFonts w:cs="仿宋_GB2312"/>
                <w:color w:val="000000"/>
                <w:kern w:val="0"/>
                <w:sz w:val="21"/>
                <w:szCs w:val="21"/>
                <w:lang w:bidi="ar"/>
              </w:rPr>
            </w:pPr>
          </w:p>
        </w:tc>
        <w:tc>
          <w:tcPr>
            <w:tcW w:w="1302" w:type="dxa"/>
            <w:shd w:val="clear" w:color="auto" w:fill="auto"/>
            <w:vAlign w:val="center"/>
          </w:tcPr>
          <w:p>
            <w:pPr>
              <w:widowControl/>
              <w:snapToGrid w:val="0"/>
              <w:spacing w:line="240" w:lineRule="auto"/>
              <w:ind w:firstLine="0" w:firstLineChars="0"/>
              <w:jc w:val="center"/>
              <w:textAlignment w:val="center"/>
              <w:rPr>
                <w:rFonts w:cs="仿宋_GB2312"/>
                <w:color w:val="000000"/>
                <w:kern w:val="0"/>
                <w:sz w:val="21"/>
                <w:szCs w:val="21"/>
                <w:lang w:bidi="ar"/>
              </w:rPr>
            </w:pPr>
            <w:r>
              <w:rPr>
                <w:rFonts w:hint="eastAsia" w:cs="仿宋_GB2312"/>
                <w:color w:val="000000"/>
                <w:kern w:val="0"/>
                <w:sz w:val="21"/>
                <w:szCs w:val="21"/>
                <w:lang w:bidi="ar"/>
              </w:rPr>
              <w:t>地块十六</w:t>
            </w:r>
          </w:p>
        </w:tc>
        <w:tc>
          <w:tcPr>
            <w:tcW w:w="1157" w:type="dxa"/>
            <w:shd w:val="clear" w:color="auto" w:fill="auto"/>
            <w:vAlign w:val="center"/>
          </w:tcPr>
          <w:p>
            <w:pPr>
              <w:widowControl/>
              <w:snapToGrid w:val="0"/>
              <w:spacing w:line="240" w:lineRule="auto"/>
              <w:ind w:firstLine="0" w:firstLineChars="0"/>
              <w:jc w:val="center"/>
              <w:textAlignment w:val="center"/>
              <w:rPr>
                <w:rFonts w:eastAsia="宋体" w:cs="仿宋_GB2312"/>
                <w:color w:val="000000"/>
                <w:kern w:val="0"/>
                <w:sz w:val="21"/>
                <w:szCs w:val="21"/>
                <w:lang w:bidi="ar"/>
              </w:rPr>
            </w:pPr>
            <w:r>
              <w:rPr>
                <w:rFonts w:eastAsia="宋体"/>
                <w:color w:val="000000"/>
                <w:kern w:val="0"/>
                <w:sz w:val="21"/>
                <w:szCs w:val="21"/>
                <w:lang w:bidi="ar"/>
              </w:rPr>
              <w:t>30.0354</w:t>
            </w:r>
          </w:p>
        </w:tc>
        <w:tc>
          <w:tcPr>
            <w:tcW w:w="1157" w:type="dxa"/>
            <w:shd w:val="clear" w:color="auto" w:fill="auto"/>
            <w:noWrap/>
            <w:vAlign w:val="center"/>
          </w:tcPr>
          <w:p>
            <w:pPr>
              <w:widowControl/>
              <w:snapToGrid w:val="0"/>
              <w:spacing w:line="240" w:lineRule="auto"/>
              <w:ind w:firstLine="0" w:firstLineChars="0"/>
              <w:jc w:val="center"/>
              <w:rPr>
                <w:rFonts w:cs="宋体"/>
                <w:color w:val="000000"/>
                <w:kern w:val="0"/>
                <w:sz w:val="21"/>
                <w:szCs w:val="21"/>
                <w:lang w:bidi="ar"/>
              </w:rPr>
            </w:pPr>
            <w:r>
              <w:rPr>
                <w:rFonts w:hint="eastAsia" w:cs="宋体"/>
                <w:color w:val="000000"/>
                <w:kern w:val="0"/>
                <w:sz w:val="21"/>
                <w:szCs w:val="21"/>
                <w:lang w:bidi="ar"/>
              </w:rPr>
              <w:t>5.3358</w:t>
            </w:r>
          </w:p>
        </w:tc>
        <w:tc>
          <w:tcPr>
            <w:tcW w:w="1157" w:type="dxa"/>
            <w:shd w:val="clear" w:color="auto" w:fill="auto"/>
            <w:noWrap/>
            <w:vAlign w:val="center"/>
          </w:tcPr>
          <w:p>
            <w:pPr>
              <w:widowControl/>
              <w:snapToGrid w:val="0"/>
              <w:spacing w:line="240" w:lineRule="auto"/>
              <w:ind w:firstLine="0" w:firstLineChars="0"/>
              <w:jc w:val="center"/>
              <w:textAlignment w:val="center"/>
              <w:rPr>
                <w:rFonts w:cs="宋体"/>
                <w:color w:val="000000"/>
                <w:kern w:val="0"/>
                <w:sz w:val="21"/>
                <w:szCs w:val="21"/>
                <w:lang w:bidi="ar"/>
              </w:rPr>
            </w:pPr>
            <w:r>
              <w:rPr>
                <w:rFonts w:hint="eastAsia" w:cs="宋体"/>
                <w:color w:val="000000"/>
                <w:kern w:val="0"/>
                <w:sz w:val="21"/>
                <w:szCs w:val="21"/>
                <w:lang w:bidi="ar"/>
              </w:rPr>
              <w:t>-24.6996</w:t>
            </w:r>
          </w:p>
        </w:tc>
        <w:tc>
          <w:tcPr>
            <w:tcW w:w="3094" w:type="dxa"/>
            <w:shd w:val="clear" w:color="auto" w:fill="auto"/>
            <w:vAlign w:val="center"/>
          </w:tcPr>
          <w:p>
            <w:pPr>
              <w:widowControl/>
              <w:snapToGrid w:val="0"/>
              <w:spacing w:line="240" w:lineRule="auto"/>
              <w:ind w:firstLine="0" w:firstLineChars="0"/>
              <w:jc w:val="center"/>
              <w:textAlignment w:val="center"/>
              <w:rPr>
                <w:rFonts w:cs="宋体"/>
                <w:color w:val="000000"/>
                <w:kern w:val="0"/>
                <w:sz w:val="21"/>
                <w:szCs w:val="21"/>
                <w:lang w:bidi="ar"/>
              </w:rPr>
            </w:pPr>
            <w:r>
              <w:rPr>
                <w:rFonts w:hint="eastAsia" w:cs="宋体"/>
                <w:color w:val="000000"/>
                <w:kern w:val="0"/>
                <w:sz w:val="21"/>
                <w:szCs w:val="21"/>
                <w:lang w:bidi="ar"/>
              </w:rPr>
              <w:t>河源市灯塔盆地农高区核心区（首期、二期）项目范围减小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152" w:type="dxa"/>
            <w:vMerge w:val="continue"/>
            <w:shd w:val="clear" w:color="auto" w:fill="auto"/>
            <w:vAlign w:val="center"/>
          </w:tcPr>
          <w:p>
            <w:pPr>
              <w:widowControl/>
              <w:snapToGrid w:val="0"/>
              <w:spacing w:line="240" w:lineRule="auto"/>
              <w:ind w:firstLine="0" w:firstLineChars="0"/>
              <w:jc w:val="center"/>
              <w:textAlignment w:val="center"/>
              <w:rPr>
                <w:rFonts w:cs="仿宋_GB2312"/>
                <w:color w:val="000000"/>
                <w:kern w:val="0"/>
                <w:sz w:val="21"/>
                <w:szCs w:val="21"/>
                <w:lang w:bidi="ar"/>
              </w:rPr>
            </w:pPr>
            <w:r>
              <w:rPr>
                <w:rFonts w:hint="eastAsia" w:cs="仿宋_GB2312"/>
                <w:color w:val="000000"/>
                <w:kern w:val="0"/>
                <w:sz w:val="21"/>
                <w:szCs w:val="21"/>
                <w:lang w:bidi="ar"/>
              </w:rPr>
              <w:t xml:space="preserve"> </w:t>
            </w:r>
          </w:p>
        </w:tc>
        <w:tc>
          <w:tcPr>
            <w:tcW w:w="1302" w:type="dxa"/>
            <w:shd w:val="clear" w:color="auto" w:fill="auto"/>
            <w:vAlign w:val="center"/>
          </w:tcPr>
          <w:p>
            <w:pPr>
              <w:widowControl/>
              <w:snapToGrid w:val="0"/>
              <w:spacing w:line="240" w:lineRule="auto"/>
              <w:ind w:firstLine="0" w:firstLineChars="0"/>
              <w:jc w:val="center"/>
              <w:textAlignment w:val="center"/>
              <w:rPr>
                <w:rFonts w:cs="仿宋_GB2312"/>
                <w:color w:val="000000"/>
                <w:kern w:val="0"/>
                <w:sz w:val="21"/>
                <w:szCs w:val="21"/>
                <w:lang w:bidi="ar"/>
              </w:rPr>
            </w:pPr>
            <w:r>
              <w:rPr>
                <w:rFonts w:hint="eastAsia" w:cs="仿宋_GB2312"/>
                <w:color w:val="000000"/>
                <w:kern w:val="0"/>
                <w:sz w:val="21"/>
                <w:szCs w:val="21"/>
                <w:lang w:bidi="ar"/>
              </w:rPr>
              <w:t>地块十七</w:t>
            </w:r>
          </w:p>
        </w:tc>
        <w:tc>
          <w:tcPr>
            <w:tcW w:w="1157" w:type="dxa"/>
            <w:shd w:val="clear" w:color="auto" w:fill="auto"/>
            <w:vAlign w:val="center"/>
          </w:tcPr>
          <w:p>
            <w:pPr>
              <w:widowControl/>
              <w:snapToGrid w:val="0"/>
              <w:spacing w:line="240" w:lineRule="auto"/>
              <w:ind w:firstLine="0" w:firstLineChars="0"/>
              <w:jc w:val="center"/>
              <w:textAlignment w:val="center"/>
              <w:rPr>
                <w:rFonts w:cs="仿宋_GB2312"/>
                <w:color w:val="000000"/>
                <w:kern w:val="0"/>
                <w:sz w:val="21"/>
                <w:szCs w:val="21"/>
                <w:lang w:bidi="ar"/>
              </w:rPr>
            </w:pPr>
            <w:r>
              <w:rPr>
                <w:rFonts w:eastAsia="宋体"/>
                <w:color w:val="000000"/>
                <w:kern w:val="0"/>
                <w:sz w:val="21"/>
                <w:szCs w:val="21"/>
                <w:lang w:bidi="ar"/>
              </w:rPr>
              <w:t>3.3456</w:t>
            </w:r>
          </w:p>
        </w:tc>
        <w:tc>
          <w:tcPr>
            <w:tcW w:w="1157" w:type="dxa"/>
            <w:shd w:val="clear" w:color="auto" w:fill="auto"/>
            <w:noWrap/>
            <w:vAlign w:val="center"/>
          </w:tcPr>
          <w:p>
            <w:pPr>
              <w:widowControl/>
              <w:snapToGrid w:val="0"/>
              <w:spacing w:line="240" w:lineRule="auto"/>
              <w:ind w:firstLine="0" w:firstLineChars="0"/>
              <w:jc w:val="center"/>
              <w:rPr>
                <w:rFonts w:hint="eastAsia" w:eastAsia="仿宋_GB2312" w:cs="宋体"/>
                <w:color w:val="000000"/>
                <w:kern w:val="0"/>
                <w:sz w:val="21"/>
                <w:szCs w:val="21"/>
                <w:lang w:val="en-US" w:eastAsia="zh-CN" w:bidi="ar"/>
              </w:rPr>
            </w:pPr>
            <w:r>
              <w:rPr>
                <w:rFonts w:hint="eastAsia" w:cs="宋体"/>
                <w:color w:val="000000"/>
                <w:sz w:val="21"/>
                <w:szCs w:val="21"/>
              </w:rPr>
              <w:t>3.345</w:t>
            </w:r>
            <w:r>
              <w:rPr>
                <w:rFonts w:hint="eastAsia" w:cs="宋体"/>
                <w:color w:val="000000"/>
                <w:sz w:val="21"/>
                <w:szCs w:val="21"/>
                <w:lang w:val="en-US" w:eastAsia="zh-CN"/>
              </w:rPr>
              <w:t>6</w:t>
            </w:r>
          </w:p>
        </w:tc>
        <w:tc>
          <w:tcPr>
            <w:tcW w:w="1157" w:type="dxa"/>
            <w:shd w:val="clear" w:color="auto" w:fill="auto"/>
            <w:noWrap/>
            <w:vAlign w:val="center"/>
          </w:tcPr>
          <w:p>
            <w:pPr>
              <w:widowControl/>
              <w:snapToGrid w:val="0"/>
              <w:spacing w:line="240" w:lineRule="auto"/>
              <w:ind w:firstLine="0" w:firstLineChars="0"/>
              <w:jc w:val="center"/>
              <w:textAlignment w:val="center"/>
              <w:rPr>
                <w:rFonts w:cs="宋体"/>
                <w:color w:val="000000"/>
                <w:kern w:val="0"/>
                <w:sz w:val="21"/>
                <w:szCs w:val="21"/>
                <w:lang w:bidi="ar"/>
              </w:rPr>
            </w:pPr>
            <w:r>
              <w:rPr>
                <w:rFonts w:hint="eastAsia" w:cs="宋体"/>
                <w:color w:val="000000"/>
                <w:kern w:val="0"/>
                <w:sz w:val="21"/>
                <w:szCs w:val="21"/>
                <w:lang w:bidi="ar"/>
              </w:rPr>
              <w:t>0</w:t>
            </w:r>
          </w:p>
        </w:tc>
        <w:tc>
          <w:tcPr>
            <w:tcW w:w="3094" w:type="dxa"/>
            <w:shd w:val="clear" w:color="auto" w:fill="auto"/>
            <w:vAlign w:val="center"/>
          </w:tcPr>
          <w:p>
            <w:pPr>
              <w:widowControl/>
              <w:snapToGrid w:val="0"/>
              <w:spacing w:line="240" w:lineRule="auto"/>
              <w:ind w:firstLine="0" w:firstLineChars="0"/>
              <w:jc w:val="center"/>
              <w:textAlignment w:val="center"/>
              <w:rPr>
                <w:rFonts w:hint="eastAsia" w:eastAsia="仿宋_GB2312" w:cs="宋体"/>
                <w:color w:val="000000"/>
                <w:kern w:val="0"/>
                <w:sz w:val="21"/>
                <w:szCs w:val="21"/>
                <w:lang w:eastAsia="zh-CN" w:bidi="ar"/>
              </w:rPr>
            </w:pPr>
            <w:r>
              <w:rPr>
                <w:rFonts w:hint="eastAsia" w:cs="宋体"/>
                <w:color w:val="000000"/>
                <w:kern w:val="0"/>
                <w:sz w:val="21"/>
                <w:szCs w:val="21"/>
                <w:lang w:val="en-US" w:eastAsia="zh-CN" w:bidi="ar"/>
              </w:rPr>
              <w:t>未调整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152" w:type="dxa"/>
            <w:shd w:val="clear" w:color="auto" w:fill="auto"/>
            <w:vAlign w:val="center"/>
          </w:tcPr>
          <w:p>
            <w:pPr>
              <w:widowControl/>
              <w:snapToGrid w:val="0"/>
              <w:spacing w:line="240" w:lineRule="auto"/>
              <w:ind w:firstLine="0" w:firstLineChars="0"/>
              <w:jc w:val="center"/>
              <w:textAlignment w:val="center"/>
              <w:rPr>
                <w:rFonts w:cs="仿宋_GB2312"/>
                <w:color w:val="000000"/>
                <w:kern w:val="0"/>
                <w:sz w:val="21"/>
                <w:szCs w:val="21"/>
                <w:lang w:bidi="ar"/>
              </w:rPr>
            </w:pPr>
            <w:r>
              <w:rPr>
                <w:rFonts w:hint="eastAsia" w:cs="仿宋_GB2312"/>
                <w:color w:val="000000"/>
                <w:kern w:val="0"/>
                <w:sz w:val="21"/>
                <w:szCs w:val="21"/>
                <w:lang w:bidi="ar"/>
              </w:rPr>
              <w:t>船塘片区</w:t>
            </w:r>
          </w:p>
        </w:tc>
        <w:tc>
          <w:tcPr>
            <w:tcW w:w="1302" w:type="dxa"/>
            <w:shd w:val="clear" w:color="auto" w:fill="auto"/>
            <w:vAlign w:val="center"/>
          </w:tcPr>
          <w:p>
            <w:pPr>
              <w:widowControl/>
              <w:snapToGrid w:val="0"/>
              <w:spacing w:line="240" w:lineRule="auto"/>
              <w:ind w:firstLine="0" w:firstLineChars="0"/>
              <w:jc w:val="center"/>
              <w:textAlignment w:val="center"/>
              <w:rPr>
                <w:rFonts w:cs="仿宋_GB2312"/>
                <w:color w:val="000000"/>
                <w:kern w:val="0"/>
                <w:sz w:val="21"/>
                <w:szCs w:val="21"/>
                <w:lang w:bidi="ar"/>
              </w:rPr>
            </w:pPr>
            <w:r>
              <w:rPr>
                <w:rFonts w:hint="eastAsia" w:cs="仿宋_GB2312"/>
                <w:color w:val="000000"/>
                <w:kern w:val="0"/>
                <w:sz w:val="21"/>
                <w:szCs w:val="21"/>
                <w:lang w:bidi="ar"/>
              </w:rPr>
              <w:t>地块十八</w:t>
            </w:r>
          </w:p>
        </w:tc>
        <w:tc>
          <w:tcPr>
            <w:tcW w:w="1157" w:type="dxa"/>
            <w:shd w:val="clear" w:color="auto" w:fill="auto"/>
            <w:vAlign w:val="center"/>
          </w:tcPr>
          <w:p>
            <w:pPr>
              <w:widowControl/>
              <w:snapToGrid w:val="0"/>
              <w:spacing w:line="240" w:lineRule="auto"/>
              <w:ind w:firstLine="0" w:firstLineChars="0"/>
              <w:jc w:val="center"/>
              <w:textAlignment w:val="center"/>
              <w:rPr>
                <w:rFonts w:cs="仿宋_GB2312"/>
                <w:color w:val="000000"/>
                <w:kern w:val="0"/>
                <w:sz w:val="21"/>
                <w:szCs w:val="21"/>
                <w:lang w:bidi="ar"/>
              </w:rPr>
            </w:pPr>
            <w:r>
              <w:rPr>
                <w:rFonts w:eastAsia="宋体"/>
                <w:color w:val="000000"/>
                <w:kern w:val="0"/>
                <w:sz w:val="21"/>
                <w:szCs w:val="21"/>
                <w:lang w:bidi="ar"/>
              </w:rPr>
              <w:t>0.3916</w:t>
            </w:r>
          </w:p>
        </w:tc>
        <w:tc>
          <w:tcPr>
            <w:tcW w:w="1157" w:type="dxa"/>
            <w:shd w:val="clear" w:color="auto" w:fill="auto"/>
            <w:noWrap/>
            <w:vAlign w:val="center"/>
          </w:tcPr>
          <w:p>
            <w:pPr>
              <w:widowControl/>
              <w:snapToGrid w:val="0"/>
              <w:spacing w:line="240" w:lineRule="auto"/>
              <w:ind w:firstLine="0" w:firstLineChars="0"/>
              <w:jc w:val="center"/>
              <w:rPr>
                <w:rFonts w:cs="宋体"/>
                <w:color w:val="000000"/>
                <w:kern w:val="0"/>
                <w:sz w:val="21"/>
                <w:szCs w:val="21"/>
                <w:lang w:bidi="ar"/>
              </w:rPr>
            </w:pPr>
            <w:r>
              <w:rPr>
                <w:rFonts w:hint="eastAsia" w:cs="宋体"/>
                <w:color w:val="000000"/>
                <w:sz w:val="21"/>
                <w:szCs w:val="21"/>
              </w:rPr>
              <w:t>0.3916</w:t>
            </w:r>
          </w:p>
        </w:tc>
        <w:tc>
          <w:tcPr>
            <w:tcW w:w="1157" w:type="dxa"/>
            <w:shd w:val="clear" w:color="auto" w:fill="auto"/>
            <w:noWrap/>
            <w:vAlign w:val="center"/>
          </w:tcPr>
          <w:p>
            <w:pPr>
              <w:widowControl/>
              <w:snapToGrid w:val="0"/>
              <w:spacing w:line="240" w:lineRule="auto"/>
              <w:ind w:firstLine="0" w:firstLineChars="0"/>
              <w:jc w:val="center"/>
              <w:textAlignment w:val="center"/>
              <w:rPr>
                <w:rFonts w:cs="宋体"/>
                <w:color w:val="000000"/>
                <w:kern w:val="0"/>
                <w:sz w:val="21"/>
                <w:szCs w:val="21"/>
                <w:lang w:bidi="ar"/>
              </w:rPr>
            </w:pPr>
            <w:r>
              <w:rPr>
                <w:rFonts w:hint="eastAsia" w:cs="宋体"/>
                <w:color w:val="000000"/>
                <w:kern w:val="0"/>
                <w:sz w:val="21"/>
                <w:szCs w:val="21"/>
                <w:lang w:bidi="ar"/>
              </w:rPr>
              <w:t>0</w:t>
            </w:r>
          </w:p>
        </w:tc>
        <w:tc>
          <w:tcPr>
            <w:tcW w:w="3094" w:type="dxa"/>
            <w:shd w:val="clear" w:color="auto" w:fill="auto"/>
            <w:vAlign w:val="center"/>
          </w:tcPr>
          <w:p>
            <w:pPr>
              <w:widowControl/>
              <w:snapToGrid w:val="0"/>
              <w:spacing w:line="240" w:lineRule="auto"/>
              <w:ind w:firstLine="0" w:firstLineChars="0"/>
              <w:jc w:val="center"/>
              <w:textAlignment w:val="center"/>
              <w:rPr>
                <w:rFonts w:cs="宋体"/>
                <w:color w:val="000000"/>
                <w:kern w:val="0"/>
                <w:sz w:val="21"/>
                <w:szCs w:val="21"/>
                <w:lang w:bidi="ar"/>
              </w:rPr>
            </w:pPr>
            <w:r>
              <w:rPr>
                <w:rFonts w:hint="eastAsia" w:cs="宋体"/>
                <w:color w:val="000000"/>
                <w:kern w:val="0"/>
                <w:sz w:val="21"/>
                <w:szCs w:val="21"/>
                <w:lang w:bidi="ar"/>
              </w:rPr>
              <w:t>未调整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152" w:type="dxa"/>
            <w:shd w:val="clear" w:color="auto" w:fill="auto"/>
            <w:vAlign w:val="center"/>
          </w:tcPr>
          <w:p>
            <w:pPr>
              <w:widowControl/>
              <w:snapToGrid w:val="0"/>
              <w:spacing w:line="240" w:lineRule="auto"/>
              <w:ind w:firstLine="0" w:firstLineChars="0"/>
              <w:jc w:val="center"/>
              <w:textAlignment w:val="center"/>
              <w:rPr>
                <w:rFonts w:cs="仿宋_GB2312"/>
                <w:color w:val="000000"/>
                <w:kern w:val="0"/>
                <w:sz w:val="21"/>
                <w:szCs w:val="21"/>
                <w:lang w:bidi="ar"/>
              </w:rPr>
            </w:pPr>
            <w:r>
              <w:rPr>
                <w:rFonts w:hint="eastAsia" w:cs="仿宋_GB2312"/>
                <w:color w:val="000000"/>
                <w:kern w:val="0"/>
                <w:sz w:val="21"/>
                <w:szCs w:val="21"/>
                <w:lang w:bidi="ar"/>
              </w:rPr>
              <w:t>锡场片区</w:t>
            </w:r>
          </w:p>
        </w:tc>
        <w:tc>
          <w:tcPr>
            <w:tcW w:w="1302" w:type="dxa"/>
            <w:shd w:val="clear" w:color="auto" w:fill="auto"/>
            <w:vAlign w:val="center"/>
          </w:tcPr>
          <w:p>
            <w:pPr>
              <w:widowControl/>
              <w:snapToGrid w:val="0"/>
              <w:spacing w:line="240" w:lineRule="auto"/>
              <w:ind w:firstLine="0" w:firstLineChars="0"/>
              <w:jc w:val="center"/>
              <w:textAlignment w:val="center"/>
              <w:rPr>
                <w:rFonts w:cs="仿宋_GB2312"/>
                <w:color w:val="000000"/>
                <w:kern w:val="0"/>
                <w:sz w:val="21"/>
                <w:szCs w:val="21"/>
                <w:lang w:bidi="ar"/>
              </w:rPr>
            </w:pPr>
            <w:r>
              <w:rPr>
                <w:rFonts w:hint="eastAsia" w:cs="仿宋_GB2312"/>
                <w:color w:val="000000"/>
                <w:kern w:val="0"/>
                <w:sz w:val="21"/>
                <w:szCs w:val="21"/>
                <w:lang w:bidi="ar"/>
              </w:rPr>
              <w:t>地块十九</w:t>
            </w:r>
          </w:p>
        </w:tc>
        <w:tc>
          <w:tcPr>
            <w:tcW w:w="1157" w:type="dxa"/>
            <w:shd w:val="clear" w:color="auto" w:fill="auto"/>
            <w:vAlign w:val="center"/>
          </w:tcPr>
          <w:p>
            <w:pPr>
              <w:widowControl/>
              <w:snapToGrid w:val="0"/>
              <w:spacing w:line="240" w:lineRule="auto"/>
              <w:ind w:firstLine="0" w:firstLineChars="0"/>
              <w:jc w:val="center"/>
              <w:textAlignment w:val="center"/>
              <w:rPr>
                <w:rFonts w:cs="仿宋_GB2312"/>
                <w:color w:val="000000"/>
                <w:kern w:val="0"/>
                <w:sz w:val="21"/>
                <w:szCs w:val="21"/>
                <w:lang w:bidi="ar"/>
              </w:rPr>
            </w:pPr>
            <w:r>
              <w:rPr>
                <w:rFonts w:eastAsia="宋体"/>
                <w:color w:val="000000"/>
                <w:kern w:val="0"/>
                <w:sz w:val="21"/>
                <w:szCs w:val="21"/>
                <w:lang w:bidi="ar"/>
              </w:rPr>
              <w:t>0.0644</w:t>
            </w:r>
          </w:p>
        </w:tc>
        <w:tc>
          <w:tcPr>
            <w:tcW w:w="1157" w:type="dxa"/>
            <w:shd w:val="clear" w:color="auto" w:fill="auto"/>
            <w:noWrap/>
            <w:vAlign w:val="center"/>
          </w:tcPr>
          <w:p>
            <w:pPr>
              <w:widowControl/>
              <w:snapToGrid w:val="0"/>
              <w:spacing w:line="240" w:lineRule="auto"/>
              <w:ind w:firstLine="0" w:firstLineChars="0"/>
              <w:jc w:val="center"/>
              <w:rPr>
                <w:rFonts w:cs="宋体"/>
                <w:color w:val="000000"/>
                <w:kern w:val="0"/>
                <w:sz w:val="21"/>
                <w:szCs w:val="21"/>
                <w:lang w:bidi="ar"/>
              </w:rPr>
            </w:pPr>
            <w:r>
              <w:rPr>
                <w:rFonts w:hint="eastAsia" w:cs="宋体"/>
                <w:color w:val="000000"/>
                <w:sz w:val="21"/>
                <w:szCs w:val="21"/>
              </w:rPr>
              <w:t>0.0644</w:t>
            </w:r>
          </w:p>
        </w:tc>
        <w:tc>
          <w:tcPr>
            <w:tcW w:w="1157" w:type="dxa"/>
            <w:shd w:val="clear" w:color="auto" w:fill="auto"/>
            <w:noWrap/>
            <w:vAlign w:val="center"/>
          </w:tcPr>
          <w:p>
            <w:pPr>
              <w:widowControl/>
              <w:snapToGrid w:val="0"/>
              <w:spacing w:line="240" w:lineRule="auto"/>
              <w:ind w:firstLine="0" w:firstLineChars="0"/>
              <w:jc w:val="center"/>
              <w:textAlignment w:val="center"/>
              <w:rPr>
                <w:rFonts w:cs="宋体"/>
                <w:color w:val="000000"/>
                <w:kern w:val="0"/>
                <w:sz w:val="21"/>
                <w:szCs w:val="21"/>
                <w:lang w:bidi="ar"/>
              </w:rPr>
            </w:pPr>
            <w:r>
              <w:rPr>
                <w:rFonts w:hint="eastAsia" w:cs="宋体"/>
                <w:color w:val="000000"/>
                <w:kern w:val="0"/>
                <w:sz w:val="21"/>
                <w:szCs w:val="21"/>
                <w:lang w:bidi="ar"/>
              </w:rPr>
              <w:t>0</w:t>
            </w:r>
          </w:p>
        </w:tc>
        <w:tc>
          <w:tcPr>
            <w:tcW w:w="3094" w:type="dxa"/>
            <w:shd w:val="clear" w:color="auto" w:fill="auto"/>
            <w:vAlign w:val="center"/>
          </w:tcPr>
          <w:p>
            <w:pPr>
              <w:widowControl/>
              <w:snapToGrid w:val="0"/>
              <w:spacing w:line="240" w:lineRule="auto"/>
              <w:ind w:firstLine="0" w:firstLineChars="0"/>
              <w:jc w:val="center"/>
              <w:textAlignment w:val="center"/>
              <w:rPr>
                <w:rFonts w:cs="宋体"/>
                <w:color w:val="000000"/>
                <w:kern w:val="0"/>
                <w:sz w:val="21"/>
                <w:szCs w:val="21"/>
                <w:lang w:bidi="ar"/>
              </w:rPr>
            </w:pPr>
            <w:r>
              <w:rPr>
                <w:rFonts w:hint="eastAsia" w:cs="宋体"/>
                <w:color w:val="000000"/>
                <w:kern w:val="0"/>
                <w:sz w:val="21"/>
                <w:szCs w:val="21"/>
                <w:lang w:bidi="ar"/>
              </w:rPr>
              <w:t>未调整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152" w:type="dxa"/>
            <w:shd w:val="clear" w:color="auto" w:fill="auto"/>
            <w:vAlign w:val="center"/>
          </w:tcPr>
          <w:p>
            <w:pPr>
              <w:widowControl/>
              <w:snapToGrid w:val="0"/>
              <w:spacing w:line="240" w:lineRule="auto"/>
              <w:ind w:firstLine="0" w:firstLineChars="0"/>
              <w:jc w:val="center"/>
              <w:textAlignment w:val="center"/>
              <w:rPr>
                <w:rFonts w:cs="仿宋_GB2312"/>
                <w:color w:val="000000"/>
                <w:kern w:val="0"/>
                <w:sz w:val="21"/>
                <w:szCs w:val="21"/>
                <w:lang w:bidi="ar"/>
              </w:rPr>
            </w:pPr>
            <w:r>
              <w:rPr>
                <w:rFonts w:hint="eastAsia" w:cs="仿宋_GB2312"/>
                <w:color w:val="000000"/>
                <w:kern w:val="0"/>
                <w:sz w:val="21"/>
                <w:szCs w:val="21"/>
                <w:lang w:bidi="ar"/>
              </w:rPr>
              <w:t>黄村片区</w:t>
            </w:r>
          </w:p>
        </w:tc>
        <w:tc>
          <w:tcPr>
            <w:tcW w:w="1302" w:type="dxa"/>
            <w:shd w:val="clear" w:color="auto" w:fill="auto"/>
            <w:vAlign w:val="center"/>
          </w:tcPr>
          <w:p>
            <w:pPr>
              <w:widowControl/>
              <w:snapToGrid w:val="0"/>
              <w:spacing w:line="240" w:lineRule="auto"/>
              <w:ind w:firstLine="0" w:firstLineChars="0"/>
              <w:jc w:val="center"/>
              <w:textAlignment w:val="center"/>
              <w:rPr>
                <w:rFonts w:cs="仿宋_GB2312"/>
                <w:color w:val="000000"/>
                <w:kern w:val="0"/>
                <w:sz w:val="21"/>
                <w:szCs w:val="21"/>
                <w:lang w:bidi="ar"/>
              </w:rPr>
            </w:pPr>
            <w:r>
              <w:rPr>
                <w:rFonts w:hint="eastAsia" w:cs="仿宋_GB2312"/>
                <w:color w:val="000000"/>
                <w:kern w:val="0"/>
                <w:sz w:val="21"/>
                <w:szCs w:val="21"/>
                <w:lang w:bidi="ar"/>
              </w:rPr>
              <w:t>地块二十</w:t>
            </w:r>
          </w:p>
        </w:tc>
        <w:tc>
          <w:tcPr>
            <w:tcW w:w="1157" w:type="dxa"/>
            <w:shd w:val="clear" w:color="auto" w:fill="auto"/>
            <w:vAlign w:val="center"/>
          </w:tcPr>
          <w:p>
            <w:pPr>
              <w:widowControl/>
              <w:snapToGrid w:val="0"/>
              <w:spacing w:line="240" w:lineRule="auto"/>
              <w:ind w:firstLine="0" w:firstLineChars="0"/>
              <w:jc w:val="center"/>
              <w:textAlignment w:val="center"/>
              <w:rPr>
                <w:rFonts w:cs="仿宋_GB2312"/>
                <w:color w:val="000000"/>
                <w:kern w:val="0"/>
                <w:sz w:val="21"/>
                <w:szCs w:val="21"/>
                <w:lang w:bidi="ar"/>
              </w:rPr>
            </w:pPr>
            <w:r>
              <w:rPr>
                <w:rFonts w:eastAsia="宋体"/>
                <w:color w:val="000000"/>
                <w:kern w:val="0"/>
                <w:sz w:val="21"/>
                <w:szCs w:val="21"/>
                <w:lang w:bidi="ar"/>
              </w:rPr>
              <w:t>0.3333</w:t>
            </w:r>
          </w:p>
        </w:tc>
        <w:tc>
          <w:tcPr>
            <w:tcW w:w="1157" w:type="dxa"/>
            <w:shd w:val="clear" w:color="auto" w:fill="auto"/>
            <w:noWrap/>
            <w:vAlign w:val="center"/>
          </w:tcPr>
          <w:p>
            <w:pPr>
              <w:widowControl/>
              <w:snapToGrid w:val="0"/>
              <w:spacing w:line="240" w:lineRule="auto"/>
              <w:ind w:firstLine="0" w:firstLineChars="0"/>
              <w:jc w:val="center"/>
              <w:rPr>
                <w:rFonts w:cs="宋体"/>
                <w:color w:val="000000"/>
                <w:kern w:val="0"/>
                <w:sz w:val="21"/>
                <w:szCs w:val="21"/>
                <w:lang w:bidi="ar"/>
              </w:rPr>
            </w:pPr>
            <w:r>
              <w:rPr>
                <w:rFonts w:hint="eastAsia" w:cs="宋体"/>
                <w:color w:val="000000"/>
                <w:sz w:val="21"/>
                <w:szCs w:val="21"/>
              </w:rPr>
              <w:t>0</w:t>
            </w:r>
          </w:p>
        </w:tc>
        <w:tc>
          <w:tcPr>
            <w:tcW w:w="1157" w:type="dxa"/>
            <w:shd w:val="clear" w:color="auto" w:fill="auto"/>
            <w:noWrap/>
            <w:vAlign w:val="center"/>
          </w:tcPr>
          <w:p>
            <w:pPr>
              <w:widowControl/>
              <w:snapToGrid w:val="0"/>
              <w:spacing w:line="240" w:lineRule="auto"/>
              <w:ind w:firstLine="0" w:firstLineChars="0"/>
              <w:jc w:val="center"/>
              <w:textAlignment w:val="center"/>
              <w:rPr>
                <w:rFonts w:hint="default" w:eastAsia="仿宋_GB2312" w:cs="宋体"/>
                <w:color w:val="000000"/>
                <w:kern w:val="0"/>
                <w:sz w:val="21"/>
                <w:szCs w:val="21"/>
                <w:lang w:val="en-US" w:eastAsia="zh-CN" w:bidi="ar"/>
              </w:rPr>
            </w:pPr>
            <w:r>
              <w:rPr>
                <w:rFonts w:hint="eastAsia" w:cs="宋体"/>
                <w:color w:val="000000"/>
                <w:kern w:val="0"/>
                <w:sz w:val="21"/>
                <w:szCs w:val="21"/>
                <w:lang w:val="en-US" w:eastAsia="zh-CN" w:bidi="ar"/>
              </w:rPr>
              <w:t>-0.3333</w:t>
            </w:r>
          </w:p>
        </w:tc>
        <w:tc>
          <w:tcPr>
            <w:tcW w:w="3094" w:type="dxa"/>
            <w:shd w:val="clear" w:color="auto" w:fill="auto"/>
            <w:vAlign w:val="center"/>
          </w:tcPr>
          <w:p>
            <w:pPr>
              <w:widowControl/>
              <w:snapToGrid w:val="0"/>
              <w:spacing w:line="240" w:lineRule="auto"/>
              <w:ind w:firstLine="0" w:firstLineChars="0"/>
              <w:jc w:val="center"/>
              <w:textAlignment w:val="center"/>
              <w:rPr>
                <w:rFonts w:cs="宋体"/>
                <w:color w:val="000000"/>
                <w:kern w:val="0"/>
                <w:sz w:val="21"/>
                <w:szCs w:val="21"/>
                <w:lang w:bidi="ar"/>
              </w:rPr>
            </w:pPr>
            <w:r>
              <w:rPr>
                <w:rFonts w:hint="eastAsia" w:cs="宋体"/>
                <w:color w:val="000000"/>
                <w:kern w:val="0"/>
                <w:sz w:val="21"/>
                <w:szCs w:val="21"/>
                <w:lang w:bidi="ar"/>
              </w:rPr>
              <w:t>东源县黄村镇黄村温泉养颜康养建设项目撤销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2454" w:type="dxa"/>
            <w:gridSpan w:val="2"/>
            <w:shd w:val="clear" w:color="auto" w:fill="auto"/>
            <w:vAlign w:val="center"/>
          </w:tcPr>
          <w:p>
            <w:pPr>
              <w:widowControl/>
              <w:snapToGrid w:val="0"/>
              <w:spacing w:line="240" w:lineRule="auto"/>
              <w:ind w:firstLine="0" w:firstLineChars="0"/>
              <w:jc w:val="center"/>
              <w:textAlignment w:val="center"/>
              <w:rPr>
                <w:rFonts w:cs="仿宋_GB2312"/>
                <w:color w:val="000000"/>
                <w:kern w:val="0"/>
                <w:sz w:val="21"/>
                <w:szCs w:val="21"/>
                <w:lang w:bidi="ar"/>
              </w:rPr>
            </w:pPr>
            <w:r>
              <w:rPr>
                <w:rFonts w:hint="eastAsia" w:cs="仿宋_GB2312"/>
                <w:color w:val="000000"/>
                <w:kern w:val="0"/>
                <w:sz w:val="21"/>
                <w:szCs w:val="21"/>
                <w:lang w:bidi="ar"/>
              </w:rPr>
              <w:t>总计</w:t>
            </w:r>
          </w:p>
        </w:tc>
        <w:tc>
          <w:tcPr>
            <w:tcW w:w="1157" w:type="dxa"/>
            <w:shd w:val="clear" w:color="auto" w:fill="auto"/>
            <w:vAlign w:val="center"/>
          </w:tcPr>
          <w:p>
            <w:pPr>
              <w:widowControl/>
              <w:snapToGrid w:val="0"/>
              <w:spacing w:line="240" w:lineRule="auto"/>
              <w:ind w:firstLine="0" w:firstLineChars="0"/>
              <w:jc w:val="center"/>
              <w:textAlignment w:val="center"/>
              <w:rPr>
                <w:rFonts w:eastAsia="宋体" w:cs="Times New Roman"/>
                <w:color w:val="000000"/>
                <w:kern w:val="0"/>
                <w:sz w:val="21"/>
                <w:szCs w:val="21"/>
                <w:lang w:bidi="ar"/>
              </w:rPr>
            </w:pPr>
            <w:r>
              <w:rPr>
                <w:rFonts w:hint="eastAsia" w:cs="宋体"/>
                <w:color w:val="000000"/>
                <w:kern w:val="0"/>
                <w:sz w:val="21"/>
                <w:szCs w:val="21"/>
                <w:lang w:bidi="ar"/>
              </w:rPr>
              <w:t>111.7239</w:t>
            </w:r>
          </w:p>
        </w:tc>
        <w:tc>
          <w:tcPr>
            <w:tcW w:w="1157" w:type="dxa"/>
            <w:shd w:val="clear" w:color="auto" w:fill="auto"/>
            <w:noWrap/>
            <w:vAlign w:val="center"/>
          </w:tcPr>
          <w:p>
            <w:pPr>
              <w:widowControl/>
              <w:snapToGrid w:val="0"/>
              <w:spacing w:line="240" w:lineRule="auto"/>
              <w:ind w:firstLine="0" w:firstLineChars="0"/>
              <w:jc w:val="center"/>
              <w:rPr>
                <w:rFonts w:hint="eastAsia" w:eastAsia="宋体" w:cs="Times New Roman"/>
                <w:color w:val="000000"/>
                <w:kern w:val="0"/>
                <w:sz w:val="21"/>
                <w:szCs w:val="21"/>
                <w:lang w:val="en-US" w:eastAsia="zh-CN" w:bidi="ar"/>
              </w:rPr>
            </w:pPr>
            <w:r>
              <w:rPr>
                <w:rFonts w:hint="eastAsia" w:eastAsia="宋体" w:cs="Times New Roman"/>
                <w:color w:val="000000"/>
                <w:kern w:val="0"/>
                <w:sz w:val="21"/>
                <w:szCs w:val="21"/>
                <w:lang w:eastAsia="zh-CN" w:bidi="ar"/>
              </w:rPr>
              <w:t>84.9353</w:t>
            </w:r>
          </w:p>
        </w:tc>
        <w:tc>
          <w:tcPr>
            <w:tcW w:w="1157" w:type="dxa"/>
            <w:shd w:val="clear" w:color="auto" w:fill="auto"/>
            <w:noWrap/>
            <w:vAlign w:val="center"/>
          </w:tcPr>
          <w:p>
            <w:pPr>
              <w:widowControl/>
              <w:snapToGrid w:val="0"/>
              <w:spacing w:line="240" w:lineRule="auto"/>
              <w:ind w:firstLine="0" w:firstLineChars="0"/>
              <w:jc w:val="center"/>
              <w:textAlignment w:val="center"/>
              <w:rPr>
                <w:rFonts w:hint="eastAsia" w:eastAsia="仿宋_GB2312" w:cs="宋体"/>
                <w:color w:val="000000"/>
                <w:kern w:val="0"/>
                <w:sz w:val="21"/>
                <w:szCs w:val="21"/>
                <w:lang w:val="en-US" w:eastAsia="zh-CN" w:bidi="ar"/>
              </w:rPr>
            </w:pPr>
            <w:r>
              <w:rPr>
                <w:rFonts w:hint="eastAsia" w:cs="宋体"/>
                <w:color w:val="000000"/>
                <w:kern w:val="0"/>
                <w:sz w:val="21"/>
                <w:szCs w:val="21"/>
                <w:lang w:bidi="ar"/>
              </w:rPr>
              <w:t>-26.788</w:t>
            </w:r>
            <w:r>
              <w:rPr>
                <w:rFonts w:hint="eastAsia" w:cs="宋体"/>
                <w:color w:val="000000"/>
                <w:kern w:val="0"/>
                <w:sz w:val="21"/>
                <w:szCs w:val="21"/>
                <w:lang w:val="en-US" w:eastAsia="zh-CN" w:bidi="ar"/>
              </w:rPr>
              <w:t>6</w:t>
            </w:r>
          </w:p>
        </w:tc>
        <w:tc>
          <w:tcPr>
            <w:tcW w:w="3094" w:type="dxa"/>
            <w:shd w:val="clear" w:color="auto" w:fill="auto"/>
            <w:vAlign w:val="center"/>
          </w:tcPr>
          <w:p>
            <w:pPr>
              <w:widowControl/>
              <w:snapToGrid w:val="0"/>
              <w:spacing w:line="240" w:lineRule="auto"/>
              <w:ind w:firstLine="0" w:firstLineChars="0"/>
              <w:jc w:val="center"/>
              <w:textAlignment w:val="center"/>
              <w:rPr>
                <w:rFonts w:cs="宋体"/>
                <w:color w:val="000000"/>
                <w:kern w:val="0"/>
                <w:sz w:val="21"/>
                <w:szCs w:val="21"/>
                <w:lang w:bidi="ar"/>
              </w:rPr>
            </w:pPr>
            <w:r>
              <w:rPr>
                <w:rFonts w:hint="eastAsia" w:cs="宋体"/>
                <w:color w:val="000000"/>
                <w:kern w:val="0"/>
                <w:sz w:val="21"/>
                <w:szCs w:val="21"/>
                <w:lang w:bidi="ar"/>
              </w:rPr>
              <w:t>——</w:t>
            </w:r>
          </w:p>
        </w:tc>
      </w:tr>
    </w:tbl>
    <w:p>
      <w:pPr>
        <w:pStyle w:val="4"/>
      </w:pPr>
      <w:bookmarkStart w:id="11" w:name="_Toc7016"/>
      <w:r>
        <w:t>四、调整后成片开发方案基本情况</w:t>
      </w:r>
      <w:bookmarkEnd w:id="11"/>
    </w:p>
    <w:p>
      <w:pPr>
        <w:pStyle w:val="5"/>
      </w:pPr>
      <w:r>
        <w:t>（一）方案</w:t>
      </w:r>
      <w:r>
        <w:rPr>
          <w:rFonts w:hint="eastAsia"/>
        </w:rPr>
        <w:t>成片范围</w:t>
      </w:r>
      <w:r>
        <w:t>划定情况</w:t>
      </w:r>
    </w:p>
    <w:p>
      <w:pPr>
        <w:ind w:firstLine="560"/>
      </w:pPr>
      <w:r>
        <w:rPr>
          <w:rFonts w:hint="eastAsia"/>
        </w:rPr>
        <w:t>调整后，东源县</w:t>
      </w:r>
      <w:r>
        <w:t>2022</w:t>
      </w:r>
      <w:r>
        <w:rPr>
          <w:rFonts w:hint="eastAsia"/>
        </w:rPr>
        <w:t>年度土地征收成片开发范围总面积</w:t>
      </w:r>
      <w:r>
        <w:rPr>
          <w:rFonts w:hint="eastAsia"/>
          <w:lang w:eastAsia="zh-CN"/>
        </w:rPr>
        <w:t>141.4763</w:t>
      </w:r>
      <w:r>
        <w:rPr>
          <w:rFonts w:hint="eastAsia"/>
        </w:rPr>
        <w:t>公顷，拟征收地块总面积</w:t>
      </w:r>
      <w:r>
        <w:rPr>
          <w:rFonts w:hint="eastAsia"/>
          <w:lang w:eastAsia="zh-CN"/>
        </w:rPr>
        <w:t>84.9353</w:t>
      </w:r>
      <w:r>
        <w:rPr>
          <w:rFonts w:hint="eastAsia"/>
        </w:rPr>
        <w:t>公顷，共划定了6个片区、1</w:t>
      </w:r>
      <w:r>
        <w:t>7</w:t>
      </w:r>
      <w:r>
        <w:rPr>
          <w:rFonts w:hint="eastAsia"/>
        </w:rPr>
        <w:t>个成片开发范围。分别为盐东产业转移园片区、灯塔片区、骆湖片区、农高核心区片区、船塘片区、锡场片区。各成片均位于已建成区周边，交通便利，供水、供电、污水处理等基础设施较为完善。具体见下表：</w:t>
      </w:r>
    </w:p>
    <w:p>
      <w:pPr>
        <w:pStyle w:val="2"/>
      </w:pPr>
    </w:p>
    <w:p>
      <w:pPr>
        <w:pStyle w:val="11"/>
        <w:spacing w:line="240" w:lineRule="auto"/>
        <w:rPr>
          <w:highlight w:val="none"/>
        </w:rPr>
      </w:pPr>
      <w:r>
        <w:rPr>
          <w:rFonts w:hint="eastAsia"/>
        </w:rPr>
        <w:t>表2-</w:t>
      </w:r>
      <w:r>
        <w:t>8 调整后</w:t>
      </w:r>
      <w:r>
        <w:rPr>
          <w:rFonts w:hint="eastAsia"/>
          <w:highlight w:val="none"/>
        </w:rPr>
        <w:t>成</w:t>
      </w:r>
      <w:r>
        <w:rPr>
          <w:highlight w:val="none"/>
        </w:rPr>
        <w:t>片开发范围情况表</w:t>
      </w:r>
    </w:p>
    <w:p>
      <w:pPr>
        <w:pStyle w:val="11"/>
        <w:spacing w:line="240" w:lineRule="auto"/>
        <w:jc w:val="right"/>
      </w:pPr>
      <w:r>
        <w:rPr>
          <w:rFonts w:hint="eastAsia"/>
        </w:rPr>
        <w:t>单位：公顷、%</w:t>
      </w:r>
    </w:p>
    <w:tbl>
      <w:tblPr>
        <w:tblStyle w:val="24"/>
        <w:tblW w:w="86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24"/>
        <w:gridCol w:w="1713"/>
        <w:gridCol w:w="1134"/>
        <w:gridCol w:w="1275"/>
        <w:gridCol w:w="1134"/>
        <w:gridCol w:w="1134"/>
        <w:gridCol w:w="851"/>
        <w:gridCol w:w="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kern w:val="0"/>
                <w:sz w:val="21"/>
                <w:szCs w:val="21"/>
              </w:rPr>
            </w:pPr>
            <w:r>
              <w:rPr>
                <w:rFonts w:hint="eastAsia" w:cs="Times New Roman"/>
                <w:b/>
                <w:bCs/>
                <w:color w:val="000000"/>
                <w:sz w:val="21"/>
                <w:szCs w:val="21"/>
              </w:rPr>
              <w:t>序号</w:t>
            </w:r>
          </w:p>
        </w:tc>
        <w:tc>
          <w:tcPr>
            <w:tcW w:w="171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sz w:val="21"/>
                <w:szCs w:val="21"/>
              </w:rPr>
            </w:pPr>
            <w:r>
              <w:rPr>
                <w:rFonts w:hint="eastAsia" w:cs="Times New Roman"/>
                <w:b/>
                <w:bCs/>
                <w:color w:val="000000"/>
                <w:sz w:val="21"/>
                <w:szCs w:val="21"/>
              </w:rPr>
              <w:t>成片开发范围</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b/>
                <w:bCs/>
                <w:color w:val="000000"/>
                <w:sz w:val="21"/>
                <w:szCs w:val="21"/>
              </w:rPr>
            </w:pPr>
            <w:r>
              <w:rPr>
                <w:rFonts w:hint="eastAsia" w:cs="Times New Roman"/>
                <w:b/>
                <w:bCs/>
                <w:color w:val="000000"/>
                <w:sz w:val="21"/>
                <w:szCs w:val="21"/>
              </w:rPr>
              <w:t>地块名称</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sz w:val="21"/>
                <w:szCs w:val="21"/>
              </w:rPr>
            </w:pPr>
            <w:r>
              <w:rPr>
                <w:rFonts w:hint="eastAsia" w:cs="Times New Roman"/>
                <w:b/>
                <w:bCs/>
                <w:color w:val="000000"/>
                <w:sz w:val="21"/>
                <w:szCs w:val="21"/>
              </w:rPr>
              <w:t>地块总面积</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b/>
                <w:bCs/>
                <w:color w:val="000000"/>
                <w:sz w:val="21"/>
                <w:szCs w:val="21"/>
              </w:rPr>
            </w:pPr>
            <w:r>
              <w:rPr>
                <w:rFonts w:hint="eastAsia" w:cs="Times New Roman"/>
                <w:b/>
                <w:bCs/>
                <w:color w:val="000000"/>
                <w:sz w:val="21"/>
                <w:szCs w:val="21"/>
              </w:rPr>
              <w:t>拟征收面积</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sz w:val="21"/>
                <w:szCs w:val="21"/>
              </w:rPr>
            </w:pPr>
            <w:r>
              <w:rPr>
                <w:rFonts w:hint="eastAsia"/>
                <w:b/>
                <w:color w:val="000000"/>
                <w:sz w:val="21"/>
                <w:szCs w:val="21"/>
              </w:rPr>
              <w:t>公益性用地面积</w:t>
            </w:r>
          </w:p>
        </w:tc>
        <w:tc>
          <w:tcPr>
            <w:tcW w:w="85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b/>
                <w:bCs/>
                <w:color w:val="000000"/>
                <w:sz w:val="21"/>
                <w:szCs w:val="21"/>
              </w:rPr>
            </w:pPr>
            <w:r>
              <w:rPr>
                <w:rFonts w:hint="eastAsia" w:cs="Times New Roman"/>
                <w:b/>
                <w:bCs/>
                <w:color w:val="000000"/>
                <w:sz w:val="21"/>
                <w:szCs w:val="21"/>
              </w:rPr>
              <w:t>拟征收占比</w:t>
            </w:r>
          </w:p>
        </w:tc>
        <w:tc>
          <w:tcPr>
            <w:tcW w:w="97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sz w:val="21"/>
                <w:szCs w:val="21"/>
              </w:rPr>
            </w:pPr>
            <w:r>
              <w:rPr>
                <w:rFonts w:hint="eastAsia" w:cs="Times New Roman"/>
                <w:b/>
                <w:bCs/>
                <w:color w:val="000000"/>
                <w:sz w:val="21"/>
                <w:szCs w:val="21"/>
              </w:rPr>
              <w:t>公益性用地占比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0" w:type="auto"/>
            <w:vMerge w:val="restart"/>
            <w:tcBorders>
              <w:top w:val="single" w:color="auto" w:sz="4" w:space="0"/>
              <w:left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cs="Times New Roman"/>
                <w:color w:val="000000"/>
                <w:sz w:val="21"/>
                <w:szCs w:val="21"/>
              </w:rPr>
              <w:t>1</w:t>
            </w:r>
          </w:p>
        </w:tc>
        <w:tc>
          <w:tcPr>
            <w:tcW w:w="1713" w:type="dxa"/>
            <w:vMerge w:val="restart"/>
            <w:tcBorders>
              <w:top w:val="single" w:color="auto" w:sz="4" w:space="0"/>
              <w:left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sz w:val="21"/>
                <w:szCs w:val="21"/>
              </w:rPr>
            </w:pPr>
            <w:r>
              <w:rPr>
                <w:rFonts w:hint="eastAsia" w:cs="Times New Roman"/>
                <w:color w:val="000000"/>
                <w:sz w:val="21"/>
                <w:szCs w:val="21"/>
              </w:rPr>
              <w:t>盐东产业转移园片区</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地块一</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kern w:val="0"/>
                <w:sz w:val="21"/>
                <w:szCs w:val="21"/>
                <w:lang w:bidi="ar"/>
              </w:rPr>
              <w:t>0.0160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0.0095</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olor w:val="000000"/>
                <w:kern w:val="0"/>
                <w:sz w:val="21"/>
                <w:szCs w:val="21"/>
                <w:lang w:bidi="ar"/>
              </w:rPr>
              <w:t>0.0065</w:t>
            </w:r>
          </w:p>
        </w:tc>
        <w:tc>
          <w:tcPr>
            <w:tcW w:w="85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sz w:val="21"/>
                <w:szCs w:val="21"/>
                <w:lang w:bidi="ar"/>
              </w:rPr>
            </w:pPr>
            <w:r>
              <w:rPr>
                <w:rFonts w:hint="eastAsia" w:cs="宋体"/>
                <w:color w:val="000000"/>
                <w:kern w:val="0"/>
                <w:sz w:val="21"/>
                <w:szCs w:val="21"/>
                <w:lang w:bidi="ar"/>
              </w:rPr>
              <w:t>59.38%</w:t>
            </w:r>
          </w:p>
        </w:tc>
        <w:tc>
          <w:tcPr>
            <w:tcW w:w="97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宋体"/>
                <w:color w:val="000000"/>
                <w:kern w:val="0"/>
                <w:sz w:val="21"/>
                <w:szCs w:val="21"/>
                <w:lang w:bidi="ar"/>
              </w:rPr>
              <w:t>40.63%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0" w:type="auto"/>
            <w:vMerge w:val="continue"/>
            <w:tcBorders>
              <w:left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p>
        </w:tc>
        <w:tc>
          <w:tcPr>
            <w:tcW w:w="1713" w:type="dxa"/>
            <w:vMerge w:val="continue"/>
            <w:tcBorders>
              <w:left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地块二</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kern w:val="0"/>
                <w:sz w:val="21"/>
                <w:szCs w:val="21"/>
                <w:lang w:bidi="ar"/>
              </w:rPr>
              <w:t>0.0021</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0.0011</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olor w:val="000000"/>
                <w:kern w:val="0"/>
                <w:sz w:val="21"/>
                <w:szCs w:val="21"/>
                <w:lang w:bidi="ar"/>
              </w:rPr>
              <w:t>0.0010</w:t>
            </w:r>
          </w:p>
        </w:tc>
        <w:tc>
          <w:tcPr>
            <w:tcW w:w="85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sz w:val="21"/>
                <w:szCs w:val="21"/>
                <w:lang w:bidi="ar"/>
              </w:rPr>
            </w:pPr>
            <w:r>
              <w:rPr>
                <w:rFonts w:hint="eastAsia" w:cs="宋体"/>
                <w:color w:val="000000"/>
                <w:kern w:val="0"/>
                <w:sz w:val="21"/>
                <w:szCs w:val="21"/>
                <w:lang w:bidi="ar"/>
              </w:rPr>
              <w:t>52.38%</w:t>
            </w:r>
          </w:p>
        </w:tc>
        <w:tc>
          <w:tcPr>
            <w:tcW w:w="97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宋体"/>
                <w:color w:val="000000"/>
                <w:kern w:val="0"/>
                <w:sz w:val="21"/>
                <w:szCs w:val="21"/>
                <w:lang w:bidi="ar"/>
              </w:rPr>
              <w:t>47.62%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0" w:type="auto"/>
            <w:vMerge w:val="continue"/>
            <w:tcBorders>
              <w:left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p>
        </w:tc>
        <w:tc>
          <w:tcPr>
            <w:tcW w:w="1713" w:type="dxa"/>
            <w:vMerge w:val="continue"/>
            <w:tcBorders>
              <w:left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地块三</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kern w:val="0"/>
                <w:sz w:val="21"/>
                <w:szCs w:val="21"/>
                <w:lang w:bidi="ar"/>
              </w:rPr>
              <w:t xml:space="preserve">8.0896 </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4.8156</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olor w:val="000000"/>
                <w:kern w:val="0"/>
                <w:sz w:val="21"/>
                <w:szCs w:val="21"/>
                <w:lang w:bidi="ar"/>
              </w:rPr>
              <w:t>3.2605</w:t>
            </w:r>
          </w:p>
        </w:tc>
        <w:tc>
          <w:tcPr>
            <w:tcW w:w="85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sz w:val="21"/>
                <w:szCs w:val="21"/>
                <w:lang w:bidi="ar"/>
              </w:rPr>
            </w:pPr>
            <w:r>
              <w:rPr>
                <w:rFonts w:hint="eastAsia" w:cs="宋体"/>
                <w:color w:val="000000"/>
                <w:kern w:val="0"/>
                <w:sz w:val="21"/>
                <w:szCs w:val="21"/>
                <w:lang w:bidi="ar"/>
              </w:rPr>
              <w:t>59.</w:t>
            </w:r>
            <w:r>
              <w:rPr>
                <w:rFonts w:hint="eastAsia" w:cs="宋体"/>
                <w:color w:val="000000"/>
                <w:kern w:val="0"/>
                <w:sz w:val="21"/>
                <w:szCs w:val="21"/>
                <w:lang w:val="en-US" w:eastAsia="zh-CN" w:bidi="ar"/>
              </w:rPr>
              <w:t>53</w:t>
            </w:r>
            <w:r>
              <w:rPr>
                <w:rFonts w:hint="eastAsia" w:cs="宋体"/>
                <w:color w:val="000000"/>
                <w:kern w:val="0"/>
                <w:sz w:val="21"/>
                <w:szCs w:val="21"/>
                <w:lang w:bidi="ar"/>
              </w:rPr>
              <w:t>%</w:t>
            </w:r>
          </w:p>
        </w:tc>
        <w:tc>
          <w:tcPr>
            <w:tcW w:w="97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宋体"/>
                <w:color w:val="000000"/>
                <w:kern w:val="0"/>
                <w:sz w:val="21"/>
                <w:szCs w:val="21"/>
                <w:lang w:bidi="ar"/>
              </w:rPr>
              <w:t>4</w:t>
            </w:r>
            <w:r>
              <w:rPr>
                <w:rFonts w:hint="eastAsia" w:cs="宋体"/>
                <w:color w:val="000000"/>
                <w:kern w:val="0"/>
                <w:sz w:val="21"/>
                <w:szCs w:val="21"/>
                <w:lang w:val="en-US" w:eastAsia="zh-CN" w:bidi="ar"/>
              </w:rPr>
              <w:t>0</w:t>
            </w:r>
            <w:r>
              <w:rPr>
                <w:rFonts w:hint="eastAsia" w:cs="宋体"/>
                <w:color w:val="000000"/>
                <w:kern w:val="0"/>
                <w:sz w:val="21"/>
                <w:szCs w:val="21"/>
                <w:lang w:bidi="ar"/>
              </w:rPr>
              <w:t>.</w:t>
            </w:r>
            <w:r>
              <w:rPr>
                <w:rFonts w:hint="eastAsia" w:cs="宋体"/>
                <w:color w:val="000000"/>
                <w:kern w:val="0"/>
                <w:sz w:val="21"/>
                <w:szCs w:val="21"/>
                <w:lang w:val="en-US" w:eastAsia="zh-CN" w:bidi="ar"/>
              </w:rPr>
              <w:t>30</w:t>
            </w:r>
            <w:r>
              <w:rPr>
                <w:rFonts w:hint="eastAsia" w:cs="宋体"/>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0" w:type="auto"/>
            <w:vMerge w:val="continue"/>
            <w:tcBorders>
              <w:left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p>
        </w:tc>
        <w:tc>
          <w:tcPr>
            <w:tcW w:w="1713" w:type="dxa"/>
            <w:vMerge w:val="continue"/>
            <w:tcBorders>
              <w:left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地块四</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cs="Times New Roman"/>
                <w:color w:val="000000"/>
                <w:kern w:val="0"/>
                <w:sz w:val="21"/>
                <w:szCs w:val="21"/>
                <w:lang w:bidi="ar"/>
              </w:rPr>
              <w:t>11.2635</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7.8367</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olor w:val="000000"/>
                <w:kern w:val="0"/>
                <w:sz w:val="21"/>
                <w:szCs w:val="21"/>
                <w:lang w:bidi="ar"/>
              </w:rPr>
              <w:t>4.5881</w:t>
            </w:r>
          </w:p>
        </w:tc>
        <w:tc>
          <w:tcPr>
            <w:tcW w:w="85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sz w:val="21"/>
                <w:szCs w:val="21"/>
                <w:lang w:bidi="ar"/>
              </w:rPr>
            </w:pPr>
            <w:r>
              <w:rPr>
                <w:rFonts w:hint="eastAsia" w:cs="宋体"/>
                <w:color w:val="000000"/>
                <w:kern w:val="0"/>
                <w:sz w:val="21"/>
                <w:szCs w:val="21"/>
                <w:lang w:bidi="ar"/>
              </w:rPr>
              <w:t>69.58%</w:t>
            </w:r>
          </w:p>
        </w:tc>
        <w:tc>
          <w:tcPr>
            <w:tcW w:w="97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宋体"/>
                <w:color w:val="000000"/>
                <w:kern w:val="0"/>
                <w:sz w:val="21"/>
                <w:szCs w:val="21"/>
                <w:lang w:bidi="ar"/>
              </w:rPr>
              <w:t>40.73%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0" w:type="auto"/>
            <w:vMerge w:val="continue"/>
            <w:tcBorders>
              <w:left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p>
        </w:tc>
        <w:tc>
          <w:tcPr>
            <w:tcW w:w="1713" w:type="dxa"/>
            <w:vMerge w:val="continue"/>
            <w:tcBorders>
              <w:left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地块五</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kern w:val="0"/>
                <w:sz w:val="21"/>
                <w:szCs w:val="21"/>
                <w:lang w:bidi="ar"/>
              </w:rPr>
              <w:t>0.3297</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0.3297</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olor w:val="000000"/>
                <w:kern w:val="0"/>
                <w:sz w:val="21"/>
                <w:szCs w:val="21"/>
                <w:lang w:bidi="ar"/>
              </w:rPr>
              <w:t>0.1660</w:t>
            </w:r>
          </w:p>
        </w:tc>
        <w:tc>
          <w:tcPr>
            <w:tcW w:w="85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sz w:val="21"/>
                <w:szCs w:val="21"/>
                <w:lang w:bidi="ar"/>
              </w:rPr>
            </w:pPr>
            <w:r>
              <w:rPr>
                <w:rFonts w:hint="eastAsia" w:cs="宋体"/>
                <w:color w:val="000000"/>
                <w:kern w:val="0"/>
                <w:sz w:val="21"/>
                <w:szCs w:val="21"/>
                <w:lang w:bidi="ar"/>
              </w:rPr>
              <w:t>100.00%</w:t>
            </w:r>
          </w:p>
        </w:tc>
        <w:tc>
          <w:tcPr>
            <w:tcW w:w="97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宋体"/>
                <w:color w:val="000000"/>
                <w:kern w:val="0"/>
                <w:sz w:val="21"/>
                <w:szCs w:val="21"/>
                <w:lang w:bidi="ar"/>
              </w:rPr>
              <w:t>50.35%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0" w:type="auto"/>
            <w:vMerge w:val="continue"/>
            <w:tcBorders>
              <w:left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p>
        </w:tc>
        <w:tc>
          <w:tcPr>
            <w:tcW w:w="1713" w:type="dxa"/>
            <w:vMerge w:val="continue"/>
            <w:tcBorders>
              <w:left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地块六</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kern w:val="0"/>
                <w:sz w:val="21"/>
                <w:szCs w:val="21"/>
                <w:lang w:bidi="ar"/>
              </w:rPr>
              <w:t>0.0676</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0.0396</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olor w:val="000000"/>
                <w:kern w:val="0"/>
                <w:sz w:val="21"/>
                <w:szCs w:val="21"/>
                <w:lang w:bidi="ar"/>
              </w:rPr>
              <w:t>0.0667</w:t>
            </w:r>
          </w:p>
        </w:tc>
        <w:tc>
          <w:tcPr>
            <w:tcW w:w="85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sz w:val="21"/>
                <w:szCs w:val="21"/>
                <w:lang w:bidi="ar"/>
              </w:rPr>
            </w:pPr>
            <w:r>
              <w:rPr>
                <w:rFonts w:hint="eastAsia" w:cs="宋体"/>
                <w:color w:val="000000"/>
                <w:kern w:val="0"/>
                <w:sz w:val="21"/>
                <w:szCs w:val="21"/>
                <w:lang w:bidi="ar"/>
              </w:rPr>
              <w:t>58.58%</w:t>
            </w:r>
          </w:p>
        </w:tc>
        <w:tc>
          <w:tcPr>
            <w:tcW w:w="97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宋体"/>
                <w:color w:val="000000"/>
                <w:kern w:val="0"/>
                <w:sz w:val="21"/>
                <w:szCs w:val="21"/>
                <w:lang w:bidi="ar"/>
              </w:rPr>
              <w:t>98.67%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0" w:type="auto"/>
            <w:vMerge w:val="continue"/>
            <w:tcBorders>
              <w:left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p>
        </w:tc>
        <w:tc>
          <w:tcPr>
            <w:tcW w:w="1713" w:type="dxa"/>
            <w:vMerge w:val="continue"/>
            <w:tcBorders>
              <w:left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地块七</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kern w:val="0"/>
                <w:sz w:val="21"/>
                <w:szCs w:val="21"/>
                <w:lang w:bidi="ar"/>
              </w:rPr>
              <w:t>0.0123</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0.0071</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olor w:val="000000"/>
                <w:kern w:val="0"/>
                <w:sz w:val="21"/>
                <w:szCs w:val="21"/>
                <w:lang w:bidi="ar"/>
              </w:rPr>
              <w:t>0.0051</w:t>
            </w:r>
          </w:p>
        </w:tc>
        <w:tc>
          <w:tcPr>
            <w:tcW w:w="85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sz w:val="21"/>
                <w:szCs w:val="21"/>
                <w:lang w:bidi="ar"/>
              </w:rPr>
            </w:pPr>
            <w:r>
              <w:rPr>
                <w:rFonts w:hint="eastAsia" w:cs="宋体"/>
                <w:color w:val="000000"/>
                <w:kern w:val="0"/>
                <w:sz w:val="21"/>
                <w:szCs w:val="21"/>
                <w:lang w:bidi="ar"/>
              </w:rPr>
              <w:t>57.72%</w:t>
            </w:r>
          </w:p>
        </w:tc>
        <w:tc>
          <w:tcPr>
            <w:tcW w:w="97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宋体"/>
                <w:color w:val="000000"/>
                <w:kern w:val="0"/>
                <w:sz w:val="21"/>
                <w:szCs w:val="21"/>
                <w:lang w:bidi="ar"/>
              </w:rPr>
              <w:t>41.46%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0" w:type="auto"/>
            <w:vMerge w:val="continue"/>
            <w:tcBorders>
              <w:left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p>
        </w:tc>
        <w:tc>
          <w:tcPr>
            <w:tcW w:w="1713" w:type="dxa"/>
            <w:vMerge w:val="continue"/>
            <w:tcBorders>
              <w:left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地块八</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kern w:val="0"/>
                <w:sz w:val="21"/>
                <w:szCs w:val="21"/>
                <w:lang w:bidi="ar"/>
              </w:rPr>
              <w:t>63.9805</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48.7399</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olor w:val="000000"/>
                <w:kern w:val="0"/>
                <w:sz w:val="21"/>
                <w:szCs w:val="21"/>
                <w:lang w:bidi="ar"/>
              </w:rPr>
              <w:t>25.6469</w:t>
            </w:r>
          </w:p>
        </w:tc>
        <w:tc>
          <w:tcPr>
            <w:tcW w:w="85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sz w:val="21"/>
                <w:szCs w:val="21"/>
                <w:lang w:bidi="ar"/>
              </w:rPr>
            </w:pPr>
            <w:r>
              <w:rPr>
                <w:rFonts w:hint="eastAsia" w:cs="宋体"/>
                <w:color w:val="000000"/>
                <w:kern w:val="0"/>
                <w:sz w:val="21"/>
                <w:szCs w:val="21"/>
                <w:lang w:bidi="ar"/>
              </w:rPr>
              <w:t>76.18%</w:t>
            </w:r>
          </w:p>
        </w:tc>
        <w:tc>
          <w:tcPr>
            <w:tcW w:w="97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宋体"/>
                <w:color w:val="000000"/>
                <w:kern w:val="0"/>
                <w:sz w:val="21"/>
                <w:szCs w:val="21"/>
                <w:lang w:bidi="ar"/>
              </w:rPr>
              <w:t>40.09%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0" w:type="auto"/>
            <w:vMerge w:val="restart"/>
            <w:tcBorders>
              <w:top w:val="single" w:color="auto" w:sz="4" w:space="0"/>
              <w:left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cs="Times New Roman"/>
                <w:color w:val="000000"/>
                <w:sz w:val="21"/>
                <w:szCs w:val="21"/>
              </w:rPr>
              <w:t>2</w:t>
            </w:r>
          </w:p>
        </w:tc>
        <w:tc>
          <w:tcPr>
            <w:tcW w:w="1713" w:type="dxa"/>
            <w:vMerge w:val="restart"/>
            <w:tcBorders>
              <w:top w:val="single" w:color="auto" w:sz="4" w:space="0"/>
              <w:left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sz w:val="21"/>
                <w:szCs w:val="21"/>
              </w:rPr>
            </w:pPr>
            <w:r>
              <w:rPr>
                <w:rFonts w:hint="eastAsia" w:cs="Times New Roman"/>
                <w:color w:val="000000"/>
                <w:sz w:val="21"/>
                <w:szCs w:val="21"/>
              </w:rPr>
              <w:t>灯塔片区</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地块九</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kern w:val="0"/>
                <w:sz w:val="21"/>
                <w:szCs w:val="21"/>
                <w:lang w:bidi="ar"/>
              </w:rPr>
              <w:t>2.9633</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1.7886</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olor w:val="000000"/>
                <w:kern w:val="0"/>
                <w:sz w:val="21"/>
                <w:szCs w:val="21"/>
                <w:lang w:bidi="ar"/>
              </w:rPr>
              <w:t>1.1884</w:t>
            </w:r>
          </w:p>
        </w:tc>
        <w:tc>
          <w:tcPr>
            <w:tcW w:w="85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sz w:val="21"/>
                <w:szCs w:val="21"/>
                <w:lang w:bidi="ar"/>
              </w:rPr>
            </w:pPr>
            <w:r>
              <w:rPr>
                <w:rFonts w:hint="eastAsia" w:cs="宋体"/>
                <w:color w:val="000000"/>
                <w:kern w:val="0"/>
                <w:sz w:val="21"/>
                <w:szCs w:val="21"/>
                <w:lang w:bidi="ar"/>
              </w:rPr>
              <w:t>60.36%</w:t>
            </w:r>
          </w:p>
        </w:tc>
        <w:tc>
          <w:tcPr>
            <w:tcW w:w="97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宋体"/>
                <w:color w:val="000000"/>
                <w:kern w:val="0"/>
                <w:sz w:val="21"/>
                <w:szCs w:val="21"/>
                <w:lang w:bidi="ar"/>
              </w:rPr>
              <w:t>40.10%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0" w:type="auto"/>
            <w:vMerge w:val="continue"/>
            <w:tcBorders>
              <w:left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p>
        </w:tc>
        <w:tc>
          <w:tcPr>
            <w:tcW w:w="1713" w:type="dxa"/>
            <w:vMerge w:val="continue"/>
            <w:tcBorders>
              <w:left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地块十</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kern w:val="0"/>
                <w:sz w:val="21"/>
                <w:szCs w:val="21"/>
                <w:lang w:bidi="ar"/>
              </w:rPr>
              <w:t>6.7164</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3.9230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olor w:val="000000"/>
                <w:kern w:val="0"/>
                <w:sz w:val="21"/>
                <w:szCs w:val="21"/>
                <w:lang w:bidi="ar"/>
              </w:rPr>
              <w:t>2.7159</w:t>
            </w:r>
          </w:p>
        </w:tc>
        <w:tc>
          <w:tcPr>
            <w:tcW w:w="85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sz w:val="21"/>
                <w:szCs w:val="21"/>
                <w:lang w:bidi="ar"/>
              </w:rPr>
            </w:pPr>
            <w:r>
              <w:rPr>
                <w:rFonts w:hint="eastAsia" w:cs="宋体"/>
                <w:color w:val="000000"/>
                <w:kern w:val="0"/>
                <w:sz w:val="21"/>
                <w:szCs w:val="21"/>
                <w:lang w:bidi="ar"/>
              </w:rPr>
              <w:t>58.4</w:t>
            </w:r>
            <w:r>
              <w:rPr>
                <w:rFonts w:hint="eastAsia" w:cs="宋体"/>
                <w:color w:val="000000"/>
                <w:kern w:val="0"/>
                <w:sz w:val="21"/>
                <w:szCs w:val="21"/>
                <w:lang w:val="en-US" w:eastAsia="zh-CN" w:bidi="ar"/>
              </w:rPr>
              <w:t>1</w:t>
            </w:r>
            <w:r>
              <w:rPr>
                <w:rFonts w:hint="eastAsia" w:cs="宋体"/>
                <w:color w:val="000000"/>
                <w:kern w:val="0"/>
                <w:sz w:val="21"/>
                <w:szCs w:val="21"/>
                <w:lang w:bidi="ar"/>
              </w:rPr>
              <w:t>%</w:t>
            </w:r>
          </w:p>
        </w:tc>
        <w:tc>
          <w:tcPr>
            <w:tcW w:w="97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宋体"/>
                <w:color w:val="000000"/>
                <w:kern w:val="0"/>
                <w:sz w:val="21"/>
                <w:szCs w:val="21"/>
                <w:lang w:bidi="ar"/>
              </w:rPr>
              <w:t>40.44%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0" w:type="auto"/>
            <w:vMerge w:val="restart"/>
            <w:tcBorders>
              <w:top w:val="single" w:color="auto" w:sz="4" w:space="0"/>
              <w:left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cs="Times New Roman"/>
                <w:color w:val="000000"/>
                <w:sz w:val="21"/>
                <w:szCs w:val="21"/>
              </w:rPr>
              <w:t>3</w:t>
            </w:r>
          </w:p>
        </w:tc>
        <w:tc>
          <w:tcPr>
            <w:tcW w:w="1713" w:type="dxa"/>
            <w:vMerge w:val="restart"/>
            <w:tcBorders>
              <w:top w:val="single" w:color="auto" w:sz="4" w:space="0"/>
              <w:left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骆湖片区</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地块十一</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kern w:val="0"/>
                <w:sz w:val="21"/>
                <w:szCs w:val="21"/>
                <w:lang w:bidi="ar"/>
              </w:rPr>
              <w:t>2.2264</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0.3867</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olor w:val="000000"/>
                <w:kern w:val="0"/>
                <w:sz w:val="21"/>
                <w:szCs w:val="21"/>
                <w:lang w:bidi="ar"/>
              </w:rPr>
              <w:t>0.8930</w:t>
            </w:r>
          </w:p>
        </w:tc>
        <w:tc>
          <w:tcPr>
            <w:tcW w:w="85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sz w:val="21"/>
                <w:szCs w:val="21"/>
                <w:lang w:bidi="ar"/>
              </w:rPr>
            </w:pPr>
            <w:r>
              <w:rPr>
                <w:rFonts w:hint="eastAsia" w:cs="宋体"/>
                <w:color w:val="000000"/>
                <w:kern w:val="0"/>
                <w:sz w:val="21"/>
                <w:szCs w:val="21"/>
                <w:lang w:bidi="ar"/>
              </w:rPr>
              <w:t>17.37%</w:t>
            </w:r>
          </w:p>
        </w:tc>
        <w:tc>
          <w:tcPr>
            <w:tcW w:w="97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宋体"/>
                <w:color w:val="000000"/>
                <w:kern w:val="0"/>
                <w:sz w:val="21"/>
                <w:szCs w:val="21"/>
                <w:lang w:bidi="ar"/>
              </w:rPr>
              <w:t>40.11%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0" w:type="auto"/>
            <w:vMerge w:val="continue"/>
            <w:tcBorders>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p>
        </w:tc>
        <w:tc>
          <w:tcPr>
            <w:tcW w:w="1713" w:type="dxa"/>
            <w:vMerge w:val="continue"/>
            <w:tcBorders>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地块十二</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kern w:val="0"/>
                <w:sz w:val="21"/>
                <w:szCs w:val="21"/>
                <w:lang w:bidi="ar"/>
              </w:rPr>
              <w:t>11.1665</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7.9204</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olor w:val="000000"/>
                <w:kern w:val="0"/>
                <w:sz w:val="21"/>
                <w:szCs w:val="21"/>
                <w:lang w:bidi="ar"/>
              </w:rPr>
              <w:t>4.4975</w:t>
            </w:r>
          </w:p>
        </w:tc>
        <w:tc>
          <w:tcPr>
            <w:tcW w:w="85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sz w:val="21"/>
                <w:szCs w:val="21"/>
                <w:lang w:bidi="ar"/>
              </w:rPr>
            </w:pPr>
            <w:r>
              <w:rPr>
                <w:rFonts w:hint="eastAsia" w:cs="宋体"/>
                <w:color w:val="000000"/>
                <w:kern w:val="0"/>
                <w:sz w:val="21"/>
                <w:szCs w:val="21"/>
                <w:lang w:bidi="ar"/>
              </w:rPr>
              <w:t>70.93%</w:t>
            </w:r>
          </w:p>
        </w:tc>
        <w:tc>
          <w:tcPr>
            <w:tcW w:w="97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宋体"/>
                <w:color w:val="000000"/>
                <w:kern w:val="0"/>
                <w:sz w:val="21"/>
                <w:szCs w:val="21"/>
                <w:lang w:bidi="ar"/>
              </w:rPr>
              <w:t>40.28%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0" w:type="auto"/>
            <w:vMerge w:val="restart"/>
            <w:tcBorders>
              <w:top w:val="single" w:color="auto" w:sz="4" w:space="0"/>
              <w:left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cs="Times New Roman"/>
                <w:color w:val="000000"/>
                <w:sz w:val="21"/>
                <w:szCs w:val="21"/>
              </w:rPr>
              <w:t>4</w:t>
            </w:r>
          </w:p>
        </w:tc>
        <w:tc>
          <w:tcPr>
            <w:tcW w:w="1713" w:type="dxa"/>
            <w:vMerge w:val="restart"/>
            <w:tcBorders>
              <w:top w:val="single" w:color="auto" w:sz="4" w:space="0"/>
              <w:left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农高核心区片区</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地块十三</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kern w:val="0"/>
                <w:sz w:val="21"/>
                <w:szCs w:val="21"/>
                <w:lang w:bidi="ar"/>
              </w:rPr>
              <w:t>19.8000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0.4026</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olor w:val="000000"/>
                <w:kern w:val="0"/>
                <w:sz w:val="21"/>
                <w:szCs w:val="21"/>
                <w:lang w:bidi="ar"/>
              </w:rPr>
              <w:t>8.4261</w:t>
            </w:r>
          </w:p>
        </w:tc>
        <w:tc>
          <w:tcPr>
            <w:tcW w:w="85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sz w:val="21"/>
                <w:szCs w:val="21"/>
                <w:lang w:bidi="ar"/>
              </w:rPr>
            </w:pPr>
            <w:r>
              <w:rPr>
                <w:rFonts w:hint="eastAsia" w:cs="宋体"/>
                <w:color w:val="000000"/>
                <w:kern w:val="0"/>
                <w:sz w:val="21"/>
                <w:szCs w:val="21"/>
                <w:lang w:bidi="ar"/>
              </w:rPr>
              <w:t>2.03%</w:t>
            </w:r>
          </w:p>
        </w:tc>
        <w:tc>
          <w:tcPr>
            <w:tcW w:w="97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宋体"/>
                <w:color w:val="000000"/>
                <w:kern w:val="0"/>
                <w:sz w:val="21"/>
                <w:szCs w:val="21"/>
                <w:lang w:bidi="ar"/>
              </w:rPr>
              <w:t>42.56%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0" w:type="auto"/>
            <w:vMerge w:val="continue"/>
            <w:tcBorders>
              <w:left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p>
        </w:tc>
        <w:tc>
          <w:tcPr>
            <w:tcW w:w="1713" w:type="dxa"/>
            <w:vMerge w:val="continue"/>
            <w:tcBorders>
              <w:left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地块十四</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kern w:val="0"/>
                <w:sz w:val="21"/>
                <w:szCs w:val="21"/>
                <w:lang w:bidi="ar"/>
              </w:rPr>
              <w:t>8.5171</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4.9332</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olor w:val="000000"/>
                <w:kern w:val="0"/>
                <w:sz w:val="21"/>
                <w:szCs w:val="21"/>
                <w:lang w:bidi="ar"/>
              </w:rPr>
              <w:t>3.4465</w:t>
            </w:r>
          </w:p>
        </w:tc>
        <w:tc>
          <w:tcPr>
            <w:tcW w:w="85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sz w:val="21"/>
                <w:szCs w:val="21"/>
                <w:lang w:bidi="ar"/>
              </w:rPr>
            </w:pPr>
            <w:r>
              <w:rPr>
                <w:rFonts w:hint="eastAsia" w:cs="宋体"/>
                <w:color w:val="000000"/>
                <w:kern w:val="0"/>
                <w:sz w:val="21"/>
                <w:szCs w:val="21"/>
                <w:lang w:bidi="ar"/>
              </w:rPr>
              <w:t>57.92%</w:t>
            </w:r>
          </w:p>
        </w:tc>
        <w:tc>
          <w:tcPr>
            <w:tcW w:w="97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宋体"/>
                <w:color w:val="000000"/>
                <w:kern w:val="0"/>
                <w:sz w:val="21"/>
                <w:szCs w:val="21"/>
                <w:lang w:bidi="ar"/>
              </w:rPr>
              <w:t>40.47%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0" w:type="auto"/>
            <w:vMerge w:val="continue"/>
            <w:tcBorders>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p>
        </w:tc>
        <w:tc>
          <w:tcPr>
            <w:tcW w:w="1713" w:type="dxa"/>
            <w:vMerge w:val="continue"/>
            <w:tcBorders>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地块十五</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hint="eastAsia" w:eastAsia="仿宋_GB2312" w:cs="Times New Roman"/>
                <w:color w:val="000000"/>
                <w:sz w:val="21"/>
                <w:szCs w:val="21"/>
                <w:lang w:val="en-US" w:eastAsia="zh-CN"/>
              </w:rPr>
            </w:pPr>
            <w:r>
              <w:rPr>
                <w:rFonts w:cs="Times New Roman"/>
                <w:color w:val="000000"/>
                <w:kern w:val="0"/>
                <w:sz w:val="21"/>
                <w:szCs w:val="21"/>
                <w:lang w:bidi="ar"/>
              </w:rPr>
              <w:t>5.582</w:t>
            </w:r>
            <w:r>
              <w:rPr>
                <w:rFonts w:hint="eastAsia" w:cs="Times New Roman"/>
                <w:color w:val="000000"/>
                <w:kern w:val="0"/>
                <w:sz w:val="21"/>
                <w:szCs w:val="21"/>
                <w:lang w:val="en-US" w:eastAsia="zh-CN" w:bidi="ar"/>
              </w:rPr>
              <w:t>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hint="eastAsia" w:eastAsia="仿宋_GB2312" w:cs="Times New Roman"/>
                <w:color w:val="000000"/>
                <w:sz w:val="21"/>
                <w:szCs w:val="21"/>
                <w:lang w:val="en-US" w:eastAsia="zh-CN"/>
              </w:rPr>
            </w:pPr>
            <w:r>
              <w:rPr>
                <w:rFonts w:hint="eastAsia" w:cs="Times New Roman"/>
                <w:color w:val="000000"/>
                <w:sz w:val="21"/>
                <w:szCs w:val="21"/>
              </w:rPr>
              <w:t>3.345</w:t>
            </w:r>
            <w:r>
              <w:rPr>
                <w:rFonts w:hint="eastAsia" w:cs="Times New Roman"/>
                <w:color w:val="000000"/>
                <w:sz w:val="21"/>
                <w:szCs w:val="21"/>
                <w:lang w:val="en-US" w:eastAsia="zh-CN"/>
              </w:rPr>
              <w:t>6</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olor w:val="000000"/>
                <w:kern w:val="0"/>
                <w:sz w:val="21"/>
                <w:szCs w:val="21"/>
                <w:lang w:bidi="ar"/>
              </w:rPr>
              <w:t>2.2364</w:t>
            </w:r>
          </w:p>
        </w:tc>
        <w:tc>
          <w:tcPr>
            <w:tcW w:w="85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sz w:val="21"/>
                <w:szCs w:val="21"/>
                <w:lang w:bidi="ar"/>
              </w:rPr>
            </w:pPr>
            <w:r>
              <w:rPr>
                <w:rFonts w:hint="eastAsia" w:cs="宋体"/>
                <w:color w:val="000000"/>
                <w:kern w:val="0"/>
                <w:sz w:val="21"/>
                <w:szCs w:val="21"/>
                <w:lang w:bidi="ar"/>
              </w:rPr>
              <w:t>59.94%</w:t>
            </w:r>
          </w:p>
        </w:tc>
        <w:tc>
          <w:tcPr>
            <w:tcW w:w="97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宋体"/>
                <w:color w:val="000000"/>
                <w:kern w:val="0"/>
                <w:sz w:val="21"/>
                <w:szCs w:val="21"/>
                <w:lang w:bidi="ar"/>
              </w:rPr>
              <w:t>40.06%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cs="Times New Roman"/>
                <w:color w:val="000000"/>
                <w:sz w:val="21"/>
                <w:szCs w:val="21"/>
              </w:rPr>
              <w:t>5</w:t>
            </w:r>
          </w:p>
        </w:tc>
        <w:tc>
          <w:tcPr>
            <w:tcW w:w="171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船塘片区</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地块十六</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cs="Times New Roman"/>
                <w:color w:val="000000"/>
                <w:kern w:val="0"/>
                <w:sz w:val="21"/>
                <w:szCs w:val="21"/>
                <w:lang w:bidi="ar"/>
              </w:rPr>
              <w:t>0.574</w:t>
            </w:r>
            <w:r>
              <w:rPr>
                <w:rFonts w:hint="eastAsia" w:cs="Times New Roman"/>
                <w:color w:val="000000"/>
                <w:kern w:val="0"/>
                <w:sz w:val="21"/>
                <w:szCs w:val="21"/>
                <w:lang w:bidi="ar"/>
              </w:rPr>
              <w:t>5</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0.3916</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olor w:val="000000"/>
                <w:kern w:val="0"/>
                <w:sz w:val="21"/>
                <w:szCs w:val="21"/>
                <w:lang w:bidi="ar"/>
              </w:rPr>
              <w:t>0.2364</w:t>
            </w:r>
          </w:p>
        </w:tc>
        <w:tc>
          <w:tcPr>
            <w:tcW w:w="85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sz w:val="21"/>
                <w:szCs w:val="21"/>
                <w:lang w:bidi="ar"/>
              </w:rPr>
            </w:pPr>
            <w:r>
              <w:rPr>
                <w:rFonts w:hint="eastAsia" w:cs="宋体"/>
                <w:color w:val="000000"/>
                <w:kern w:val="0"/>
                <w:sz w:val="21"/>
                <w:szCs w:val="21"/>
                <w:lang w:bidi="ar"/>
              </w:rPr>
              <w:t>68.16%</w:t>
            </w:r>
          </w:p>
        </w:tc>
        <w:tc>
          <w:tcPr>
            <w:tcW w:w="97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宋体"/>
                <w:color w:val="000000"/>
                <w:kern w:val="0"/>
                <w:sz w:val="21"/>
                <w:szCs w:val="21"/>
                <w:lang w:bidi="ar"/>
              </w:rPr>
              <w:t>41.15%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cs="Times New Roman"/>
                <w:color w:val="000000"/>
                <w:sz w:val="21"/>
                <w:szCs w:val="21"/>
              </w:rPr>
              <w:t>6</w:t>
            </w:r>
          </w:p>
        </w:tc>
        <w:tc>
          <w:tcPr>
            <w:tcW w:w="171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锡场片区</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地块十七</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cs="Times New Roman"/>
                <w:color w:val="000000"/>
                <w:kern w:val="0"/>
                <w:sz w:val="21"/>
                <w:szCs w:val="21"/>
                <w:lang w:bidi="ar"/>
              </w:rPr>
              <w:t>0.1688</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0.0644</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color w:val="000000"/>
                <w:kern w:val="0"/>
                <w:sz w:val="21"/>
                <w:szCs w:val="21"/>
                <w:lang w:bidi="ar"/>
              </w:rPr>
              <w:t>0.0688</w:t>
            </w:r>
          </w:p>
        </w:tc>
        <w:tc>
          <w:tcPr>
            <w:tcW w:w="85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sz w:val="21"/>
                <w:szCs w:val="21"/>
                <w:lang w:bidi="ar"/>
              </w:rPr>
            </w:pPr>
            <w:r>
              <w:rPr>
                <w:rFonts w:hint="eastAsia" w:cs="宋体"/>
                <w:color w:val="000000"/>
                <w:kern w:val="0"/>
                <w:sz w:val="21"/>
                <w:szCs w:val="21"/>
                <w:lang w:bidi="ar"/>
              </w:rPr>
              <w:t>38.15%</w:t>
            </w:r>
          </w:p>
        </w:tc>
        <w:tc>
          <w:tcPr>
            <w:tcW w:w="97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宋体"/>
                <w:color w:val="000000"/>
                <w:kern w:val="0"/>
                <w:sz w:val="21"/>
                <w:szCs w:val="21"/>
                <w:lang w:bidi="ar"/>
              </w:rPr>
              <w:t>40.76%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271" w:type="dxa"/>
            <w:gridSpan w:val="3"/>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合计</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hint="eastAsia" w:eastAsia="仿宋_GB2312"/>
                <w:sz w:val="21"/>
                <w:szCs w:val="21"/>
                <w:lang w:eastAsia="zh-CN"/>
              </w:rPr>
            </w:pPr>
            <w:r>
              <w:rPr>
                <w:rFonts w:hint="eastAsia" w:cs="Times New Roman"/>
                <w:color w:val="000000"/>
                <w:kern w:val="0"/>
                <w:sz w:val="21"/>
                <w:szCs w:val="21"/>
                <w:lang w:eastAsia="zh-CN" w:bidi="ar"/>
              </w:rPr>
              <w:t>141.4763</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hint="eastAsia" w:eastAsia="仿宋_GB2312" w:cs="Times New Roman"/>
                <w:color w:val="000000"/>
                <w:sz w:val="21"/>
                <w:szCs w:val="21"/>
                <w:lang w:eastAsia="zh-CN"/>
              </w:rPr>
            </w:pPr>
            <w:r>
              <w:rPr>
                <w:rFonts w:hint="eastAsia" w:cs="Times New Roman"/>
                <w:color w:val="000000"/>
                <w:sz w:val="21"/>
                <w:szCs w:val="21"/>
                <w:lang w:eastAsia="zh-CN"/>
              </w:rPr>
              <w:t>84.9353</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sz w:val="21"/>
                <w:szCs w:val="21"/>
              </w:rPr>
              <w:t>57.4497</w:t>
            </w:r>
          </w:p>
        </w:tc>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szCs w:val="21"/>
              </w:rPr>
            </w:pPr>
            <w:r>
              <w:rPr>
                <w:sz w:val="21"/>
                <w:szCs w:val="21"/>
              </w:rPr>
              <w:t>60.0</w:t>
            </w:r>
            <w:r>
              <w:rPr>
                <w:rFonts w:hint="eastAsia"/>
                <w:sz w:val="21"/>
                <w:szCs w:val="21"/>
                <w:lang w:val="en-US" w:eastAsia="zh-CN"/>
              </w:rPr>
              <w:t>4</w:t>
            </w:r>
            <w:r>
              <w:rPr>
                <w:sz w:val="21"/>
                <w:szCs w:val="21"/>
              </w:rPr>
              <w:t>%</w:t>
            </w:r>
          </w:p>
        </w:tc>
        <w:tc>
          <w:tcPr>
            <w:tcW w:w="97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cs="Times New Roman"/>
                <w:color w:val="000000"/>
                <w:sz w:val="21"/>
                <w:szCs w:val="21"/>
              </w:rPr>
            </w:pPr>
            <w:r>
              <w:rPr>
                <w:rFonts w:hint="eastAsia" w:cs="Times New Roman"/>
                <w:color w:val="000000"/>
                <w:kern w:val="0"/>
                <w:sz w:val="21"/>
                <w:szCs w:val="21"/>
                <w:lang w:bidi="ar"/>
              </w:rPr>
              <w:t>40.6</w:t>
            </w:r>
            <w:r>
              <w:rPr>
                <w:rFonts w:hint="eastAsia" w:cs="Times New Roman"/>
                <w:color w:val="000000"/>
                <w:kern w:val="0"/>
                <w:sz w:val="21"/>
                <w:szCs w:val="21"/>
                <w:lang w:val="en-US" w:eastAsia="zh-CN" w:bidi="ar"/>
              </w:rPr>
              <w:t>1</w:t>
            </w:r>
            <w:r>
              <w:rPr>
                <w:rFonts w:hint="eastAsia" w:cs="Times New Roman"/>
                <w:color w:val="000000"/>
                <w:kern w:val="0"/>
                <w:sz w:val="21"/>
                <w:szCs w:val="21"/>
                <w:lang w:bidi="ar"/>
              </w:rPr>
              <w:t>%</w:t>
            </w:r>
          </w:p>
        </w:tc>
      </w:tr>
    </w:tbl>
    <w:p>
      <w:pPr>
        <w:ind w:firstLine="0" w:firstLineChars="0"/>
        <w:rPr>
          <w:rFonts w:cs="Times New Roman"/>
          <w:sz w:val="21"/>
          <w:szCs w:val="21"/>
        </w:rPr>
      </w:pPr>
      <w:r>
        <w:rPr>
          <w:rFonts w:hint="eastAsia" w:cs="Times New Roman"/>
          <w:sz w:val="21"/>
          <w:szCs w:val="21"/>
        </w:rPr>
        <w:t>注：各分项数据汇总后与总计存在</w:t>
      </w:r>
      <w:r>
        <w:rPr>
          <w:rFonts w:cs="Times New Roman"/>
          <w:sz w:val="21"/>
          <w:szCs w:val="21"/>
        </w:rPr>
        <w:t>1</w:t>
      </w:r>
      <w:r>
        <w:rPr>
          <w:rFonts w:hint="eastAsia" w:cs="Times New Roman"/>
          <w:sz w:val="21"/>
          <w:szCs w:val="21"/>
        </w:rPr>
        <w:t>平方米的误差，为矢量数据四舍五入后产生的误差</w:t>
      </w:r>
      <w:r>
        <w:rPr>
          <w:rFonts w:cs="Times New Roman"/>
          <w:sz w:val="21"/>
          <w:szCs w:val="21"/>
        </w:rPr>
        <w:t>。</w:t>
      </w:r>
    </w:p>
    <w:p>
      <w:pPr>
        <w:pStyle w:val="5"/>
      </w:pPr>
      <w:r>
        <w:t>（二）方案</w:t>
      </w:r>
      <w:r>
        <w:rPr>
          <w:rFonts w:hint="eastAsia"/>
        </w:rPr>
        <w:t>成片开发范围</w:t>
      </w:r>
      <w:r>
        <w:t>土地开发利用现状</w:t>
      </w:r>
    </w:p>
    <w:p>
      <w:pPr>
        <w:pStyle w:val="14"/>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rPr>
      </w:pPr>
      <w:r>
        <w:rPr>
          <w:rFonts w:hint="eastAsia"/>
        </w:rPr>
        <w:t>根据东源县2</w:t>
      </w:r>
      <w:r>
        <w:t>022</w:t>
      </w:r>
      <w:r>
        <w:rPr>
          <w:rFonts w:hint="eastAsia"/>
        </w:rPr>
        <w:t>度国土变更调查数据成果，调整后，东源县2022年度土地征收成片开发范围总面积</w:t>
      </w:r>
      <w:r>
        <w:rPr>
          <w:rFonts w:hint="eastAsia"/>
          <w:lang w:eastAsia="zh-CN"/>
        </w:rPr>
        <w:t>141.4763</w:t>
      </w:r>
      <w:r>
        <w:rPr>
          <w:rFonts w:hint="eastAsia"/>
        </w:rPr>
        <w:t>公顷，范围内土地利用现状主要以农用地为主，面积103.0726公顷，其中耕地面积0.9065公顷（水田0.4677公顷，水浇地0.1092公顷，旱地0.3296公顷）；建设用地面积38.3334公顷；未利用地面积0.0703公顷。</w:t>
      </w:r>
    </w:p>
    <w:p>
      <w:pPr>
        <w:pStyle w:val="14"/>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rPr>
      </w:pPr>
    </w:p>
    <w:p>
      <w:pPr>
        <w:pStyle w:val="14"/>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rPr>
      </w:pPr>
    </w:p>
    <w:p>
      <w:pPr>
        <w:pStyle w:val="14"/>
        <w:spacing w:line="240" w:lineRule="auto"/>
        <w:ind w:firstLine="0" w:firstLineChars="0"/>
        <w:jc w:val="center"/>
        <w:rPr>
          <w:sz w:val="24"/>
          <w:szCs w:val="22"/>
        </w:rPr>
      </w:pPr>
      <w:r>
        <w:rPr>
          <w:rFonts w:hint="eastAsia"/>
          <w:sz w:val="24"/>
          <w:szCs w:val="22"/>
        </w:rPr>
        <w:t>表2-</w:t>
      </w:r>
      <w:r>
        <w:rPr>
          <w:sz w:val="24"/>
          <w:szCs w:val="22"/>
        </w:rPr>
        <w:t>9 调整后开发片区土地利用现状表</w:t>
      </w:r>
      <w:r>
        <w:rPr>
          <w:rFonts w:hint="eastAsia"/>
          <w:sz w:val="24"/>
          <w:szCs w:val="22"/>
        </w:rPr>
        <w:t>（</w:t>
      </w:r>
      <w:r>
        <w:rPr>
          <w:sz w:val="24"/>
          <w:szCs w:val="22"/>
        </w:rPr>
        <w:t>2022</w:t>
      </w:r>
      <w:r>
        <w:rPr>
          <w:rFonts w:hint="eastAsia"/>
          <w:sz w:val="24"/>
          <w:szCs w:val="22"/>
        </w:rPr>
        <w:t>年）</w:t>
      </w:r>
    </w:p>
    <w:tbl>
      <w:tblPr>
        <w:tblStyle w:val="23"/>
        <w:tblW w:w="4859" w:type="pct"/>
        <w:tblInd w:w="0" w:type="dxa"/>
        <w:tblLayout w:type="autofit"/>
        <w:tblCellMar>
          <w:top w:w="0" w:type="dxa"/>
          <w:left w:w="108" w:type="dxa"/>
          <w:bottom w:w="0" w:type="dxa"/>
          <w:right w:w="108" w:type="dxa"/>
        </w:tblCellMar>
      </w:tblPr>
      <w:tblGrid>
        <w:gridCol w:w="790"/>
        <w:gridCol w:w="826"/>
        <w:gridCol w:w="2436"/>
        <w:gridCol w:w="1596"/>
        <w:gridCol w:w="1378"/>
        <w:gridCol w:w="1572"/>
      </w:tblGrid>
      <w:tr>
        <w:tblPrEx>
          <w:tblCellMar>
            <w:top w:w="0" w:type="dxa"/>
            <w:left w:w="108" w:type="dxa"/>
            <w:bottom w:w="0" w:type="dxa"/>
            <w:right w:w="108" w:type="dxa"/>
          </w:tblCellMar>
        </w:tblPrEx>
        <w:trPr>
          <w:trHeight w:val="334" w:hRule="atLeast"/>
          <w:tblHeader/>
        </w:trPr>
        <w:tc>
          <w:tcPr>
            <w:tcW w:w="2356" w:type="pct"/>
            <w:gridSpan w:val="3"/>
            <w:vMerge w:val="restart"/>
            <w:tcBorders>
              <w:top w:val="single" w:color="000000" w:sz="4" w:space="0"/>
              <w:left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cs="宋体"/>
                <w:b/>
                <w:bCs/>
                <w:color w:val="000000"/>
                <w:sz w:val="21"/>
                <w:szCs w:val="21"/>
              </w:rPr>
            </w:pPr>
            <w:r>
              <w:rPr>
                <w:rFonts w:hint="eastAsia" w:cs="宋体"/>
                <w:b/>
                <w:bCs/>
                <w:color w:val="000000"/>
                <w:kern w:val="0"/>
                <w:sz w:val="21"/>
                <w:szCs w:val="21"/>
                <w:lang w:bidi="ar"/>
              </w:rPr>
              <w:t>地类</w:t>
            </w:r>
          </w:p>
        </w:tc>
        <w:tc>
          <w:tcPr>
            <w:tcW w:w="264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cs="宋体"/>
                <w:b/>
                <w:bCs/>
                <w:color w:val="000000"/>
                <w:kern w:val="0"/>
                <w:sz w:val="21"/>
                <w:szCs w:val="21"/>
                <w:lang w:bidi="ar"/>
              </w:rPr>
            </w:pPr>
            <w:r>
              <w:rPr>
                <w:rFonts w:hint="eastAsia" w:cs="宋体"/>
                <w:b/>
                <w:bCs/>
                <w:color w:val="000000"/>
                <w:kern w:val="0"/>
                <w:sz w:val="21"/>
                <w:szCs w:val="21"/>
                <w:lang w:bidi="ar"/>
              </w:rPr>
              <w:t>现状面积（公顷）</w:t>
            </w:r>
          </w:p>
        </w:tc>
      </w:tr>
      <w:tr>
        <w:tblPrEx>
          <w:tblCellMar>
            <w:top w:w="0" w:type="dxa"/>
            <w:left w:w="108" w:type="dxa"/>
            <w:bottom w:w="0" w:type="dxa"/>
            <w:right w:w="108" w:type="dxa"/>
          </w:tblCellMar>
        </w:tblPrEx>
        <w:trPr>
          <w:trHeight w:val="334" w:hRule="atLeast"/>
          <w:tblHeader/>
        </w:trPr>
        <w:tc>
          <w:tcPr>
            <w:tcW w:w="2356" w:type="pct"/>
            <w:gridSpan w:val="3"/>
            <w:vMerge w:val="continue"/>
            <w:tcBorders>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cs="仿宋"/>
                <w:color w:val="000000"/>
                <w:kern w:val="0"/>
                <w:sz w:val="21"/>
                <w:szCs w:val="21"/>
                <w:lang w:bidi="ar"/>
              </w:rPr>
            </w:pP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cs="仿宋"/>
                <w:b/>
                <w:bCs/>
                <w:color w:val="000000"/>
                <w:sz w:val="21"/>
                <w:szCs w:val="21"/>
              </w:rPr>
            </w:pPr>
            <w:r>
              <w:rPr>
                <w:rFonts w:hint="eastAsia" w:cs="仿宋"/>
                <w:b/>
                <w:bCs/>
                <w:color w:val="000000"/>
                <w:sz w:val="21"/>
                <w:szCs w:val="21"/>
              </w:rPr>
              <w:t>总计</w:t>
            </w:r>
          </w:p>
        </w:tc>
        <w:tc>
          <w:tcPr>
            <w:tcW w:w="8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cs="宋体"/>
                <w:b/>
                <w:bCs/>
                <w:color w:val="000000"/>
                <w:sz w:val="21"/>
                <w:szCs w:val="21"/>
              </w:rPr>
            </w:pPr>
            <w:r>
              <w:rPr>
                <w:rFonts w:hint="eastAsia" w:cs="宋体"/>
                <w:b/>
                <w:bCs/>
                <w:color w:val="000000"/>
                <w:sz w:val="21"/>
                <w:szCs w:val="21"/>
              </w:rPr>
              <w:t>国有</w:t>
            </w:r>
          </w:p>
        </w:tc>
        <w:tc>
          <w:tcPr>
            <w:tcW w:w="9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cs="宋体"/>
                <w:b/>
                <w:bCs/>
                <w:color w:val="000000"/>
                <w:sz w:val="21"/>
                <w:szCs w:val="21"/>
              </w:rPr>
            </w:pPr>
            <w:r>
              <w:rPr>
                <w:rFonts w:hint="eastAsia" w:cs="宋体"/>
                <w:b/>
                <w:bCs/>
                <w:color w:val="000000"/>
                <w:sz w:val="21"/>
                <w:szCs w:val="21"/>
              </w:rPr>
              <w:t>集体</w:t>
            </w:r>
          </w:p>
        </w:tc>
      </w:tr>
      <w:tr>
        <w:tblPrEx>
          <w:tblCellMar>
            <w:top w:w="0" w:type="dxa"/>
            <w:left w:w="108" w:type="dxa"/>
            <w:bottom w:w="0" w:type="dxa"/>
            <w:right w:w="108" w:type="dxa"/>
          </w:tblCellMar>
        </w:tblPrEx>
        <w:trPr>
          <w:trHeight w:val="334" w:hRule="atLeast"/>
        </w:trPr>
        <w:tc>
          <w:tcPr>
            <w:tcW w:w="23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cs="仿宋"/>
                <w:color w:val="000000"/>
                <w:kern w:val="0"/>
                <w:sz w:val="21"/>
                <w:szCs w:val="21"/>
                <w:lang w:bidi="ar"/>
              </w:rPr>
            </w:pPr>
            <w:r>
              <w:rPr>
                <w:rFonts w:hint="eastAsia" w:cs="仿宋"/>
                <w:b/>
                <w:bCs/>
                <w:color w:val="000000"/>
                <w:kern w:val="0"/>
                <w:sz w:val="21"/>
                <w:szCs w:val="21"/>
                <w:lang w:bidi="ar"/>
              </w:rPr>
              <w:t>总计</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b w:val="0"/>
                <w:bCs w:val="0"/>
                <w:color w:val="000000"/>
                <w:kern w:val="0"/>
                <w:sz w:val="21"/>
                <w:szCs w:val="21"/>
                <w:lang w:bidi="ar"/>
              </w:rPr>
            </w:pPr>
            <w:r>
              <w:rPr>
                <w:rFonts w:hint="default" w:ascii="Times New Roman" w:hAnsi="Times New Roman" w:eastAsia="仿宋" w:cs="Times New Roman"/>
                <w:b w:val="0"/>
                <w:bCs w:val="0"/>
                <w:i w:val="0"/>
                <w:iCs w:val="0"/>
                <w:color w:val="000000"/>
                <w:kern w:val="0"/>
                <w:sz w:val="21"/>
                <w:szCs w:val="21"/>
                <w:u w:val="none"/>
                <w:lang w:val="en-US" w:eastAsia="zh-CN" w:bidi="ar"/>
              </w:rPr>
              <w:t xml:space="preserve">141.4763 </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b w:val="0"/>
                <w:bCs w:val="0"/>
                <w:color w:val="000000"/>
                <w:kern w:val="0"/>
                <w:sz w:val="21"/>
                <w:szCs w:val="21"/>
                <w:lang w:bidi="ar"/>
              </w:rPr>
            </w:pPr>
            <w:r>
              <w:rPr>
                <w:rFonts w:hint="default" w:ascii="Times New Roman" w:hAnsi="Times New Roman" w:eastAsia="仿宋" w:cs="Times New Roman"/>
                <w:b w:val="0"/>
                <w:bCs w:val="0"/>
                <w:i w:val="0"/>
                <w:iCs w:val="0"/>
                <w:color w:val="000000"/>
                <w:kern w:val="0"/>
                <w:sz w:val="21"/>
                <w:szCs w:val="21"/>
                <w:u w:val="none"/>
                <w:lang w:val="en-US" w:eastAsia="zh-CN" w:bidi="ar"/>
              </w:rPr>
              <w:t xml:space="preserve">12.6247 </w:t>
            </w: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b w:val="0"/>
                <w:bCs w:val="0"/>
                <w:color w:val="000000"/>
                <w:kern w:val="0"/>
                <w:sz w:val="21"/>
                <w:szCs w:val="21"/>
                <w:lang w:bidi="ar"/>
              </w:rPr>
            </w:pPr>
            <w:r>
              <w:rPr>
                <w:rFonts w:hint="default" w:ascii="Times New Roman" w:hAnsi="Times New Roman" w:eastAsia="仿宋" w:cs="Times New Roman"/>
                <w:b w:val="0"/>
                <w:bCs w:val="0"/>
                <w:i w:val="0"/>
                <w:iCs w:val="0"/>
                <w:color w:val="000000"/>
                <w:kern w:val="0"/>
                <w:sz w:val="21"/>
                <w:szCs w:val="21"/>
                <w:u w:val="none"/>
                <w:lang w:val="en-US" w:eastAsia="zh-CN" w:bidi="ar"/>
              </w:rPr>
              <w:t xml:space="preserve">128.8516 </w:t>
            </w:r>
          </w:p>
        </w:tc>
      </w:tr>
      <w:tr>
        <w:tblPrEx>
          <w:tblCellMar>
            <w:top w:w="0" w:type="dxa"/>
            <w:left w:w="108" w:type="dxa"/>
            <w:bottom w:w="0" w:type="dxa"/>
            <w:right w:w="108" w:type="dxa"/>
          </w:tblCellMar>
        </w:tblPrEx>
        <w:trPr>
          <w:trHeight w:val="334" w:hRule="atLeast"/>
        </w:trPr>
        <w:tc>
          <w:tcPr>
            <w:tcW w:w="23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cs="仿宋"/>
                <w:color w:val="000000"/>
                <w:sz w:val="21"/>
                <w:szCs w:val="21"/>
              </w:rPr>
            </w:pPr>
            <w:r>
              <w:rPr>
                <w:rFonts w:hint="eastAsia" w:cs="仿宋"/>
                <w:color w:val="000000"/>
                <w:kern w:val="0"/>
                <w:sz w:val="21"/>
                <w:szCs w:val="21"/>
                <w:lang w:bidi="ar"/>
              </w:rPr>
              <w:t>农用地</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b w:val="0"/>
                <w:bCs w:val="0"/>
                <w:color w:val="000000"/>
                <w:sz w:val="21"/>
                <w:szCs w:val="21"/>
              </w:rPr>
            </w:pPr>
            <w:r>
              <w:rPr>
                <w:rFonts w:hint="default" w:ascii="Times New Roman" w:hAnsi="Times New Roman" w:eastAsia="仿宋" w:cs="Times New Roman"/>
                <w:b w:val="0"/>
                <w:bCs w:val="0"/>
                <w:i w:val="0"/>
                <w:iCs w:val="0"/>
                <w:color w:val="000000"/>
                <w:kern w:val="0"/>
                <w:sz w:val="21"/>
                <w:szCs w:val="21"/>
                <w:u w:val="none"/>
                <w:lang w:val="en-US" w:eastAsia="zh-CN" w:bidi="ar"/>
              </w:rPr>
              <w:t xml:space="preserve">103.0726 </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b w:val="0"/>
                <w:bCs w:val="0"/>
                <w:color w:val="000000"/>
                <w:sz w:val="21"/>
                <w:szCs w:val="21"/>
              </w:rPr>
            </w:pPr>
            <w:r>
              <w:rPr>
                <w:rFonts w:hint="default" w:ascii="Times New Roman" w:hAnsi="Times New Roman" w:eastAsia="仿宋" w:cs="Times New Roman"/>
                <w:b w:val="0"/>
                <w:bCs w:val="0"/>
                <w:i w:val="0"/>
                <w:iCs w:val="0"/>
                <w:color w:val="000000"/>
                <w:kern w:val="0"/>
                <w:sz w:val="21"/>
                <w:szCs w:val="21"/>
                <w:u w:val="none"/>
                <w:lang w:val="en-US" w:eastAsia="zh-CN" w:bidi="ar"/>
              </w:rPr>
              <w:t xml:space="preserve">0.4036 </w:t>
            </w: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b w:val="0"/>
                <w:bCs w:val="0"/>
                <w:color w:val="000000"/>
                <w:sz w:val="21"/>
                <w:szCs w:val="21"/>
              </w:rPr>
            </w:pPr>
            <w:r>
              <w:rPr>
                <w:rFonts w:hint="default" w:ascii="Times New Roman" w:hAnsi="Times New Roman" w:eastAsia="仿宋" w:cs="Times New Roman"/>
                <w:b w:val="0"/>
                <w:bCs w:val="0"/>
                <w:i w:val="0"/>
                <w:iCs w:val="0"/>
                <w:color w:val="000000"/>
                <w:kern w:val="0"/>
                <w:sz w:val="21"/>
                <w:szCs w:val="21"/>
                <w:u w:val="none"/>
                <w:lang w:val="en-US" w:eastAsia="zh-CN" w:bidi="ar"/>
              </w:rPr>
              <w:t xml:space="preserve">102.6690 </w:t>
            </w:r>
          </w:p>
        </w:tc>
      </w:tr>
      <w:tr>
        <w:tblPrEx>
          <w:tblCellMar>
            <w:top w:w="0" w:type="dxa"/>
            <w:left w:w="108" w:type="dxa"/>
            <w:bottom w:w="0" w:type="dxa"/>
            <w:right w:w="108" w:type="dxa"/>
          </w:tblCellMar>
        </w:tblPrEx>
        <w:trPr>
          <w:trHeight w:val="334" w:hRule="atLeast"/>
        </w:trPr>
        <w:tc>
          <w:tcPr>
            <w:tcW w:w="46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cs="仿宋"/>
                <w:color w:val="000000"/>
                <w:sz w:val="21"/>
                <w:szCs w:val="21"/>
              </w:rPr>
            </w:pPr>
            <w:r>
              <w:rPr>
                <w:rFonts w:hint="eastAsia" w:cs="仿宋"/>
                <w:color w:val="000000"/>
                <w:kern w:val="0"/>
                <w:sz w:val="21"/>
                <w:szCs w:val="21"/>
                <w:lang w:bidi="ar"/>
              </w:rPr>
              <w:t>其中</w:t>
            </w:r>
          </w:p>
        </w:tc>
        <w:tc>
          <w:tcPr>
            <w:tcW w:w="189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cs="仿宋"/>
                <w:color w:val="000000"/>
                <w:sz w:val="21"/>
                <w:szCs w:val="21"/>
              </w:rPr>
            </w:pPr>
            <w:r>
              <w:rPr>
                <w:rFonts w:hint="eastAsia" w:cs="仿宋"/>
                <w:color w:val="000000"/>
                <w:kern w:val="0"/>
                <w:sz w:val="21"/>
                <w:szCs w:val="21"/>
                <w:lang w:bidi="ar"/>
              </w:rPr>
              <w:t>耕地</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b w:val="0"/>
                <w:bCs w:val="0"/>
                <w:color w:val="000000"/>
                <w:sz w:val="21"/>
                <w:szCs w:val="21"/>
              </w:rPr>
            </w:pPr>
            <w:r>
              <w:rPr>
                <w:rFonts w:hint="default" w:ascii="Times New Roman" w:hAnsi="Times New Roman" w:eastAsia="仿宋" w:cs="Times New Roman"/>
                <w:b w:val="0"/>
                <w:bCs w:val="0"/>
                <w:i w:val="0"/>
                <w:iCs w:val="0"/>
                <w:color w:val="000000"/>
                <w:kern w:val="0"/>
                <w:sz w:val="21"/>
                <w:szCs w:val="21"/>
                <w:u w:val="none"/>
                <w:lang w:val="en-US" w:eastAsia="zh-CN" w:bidi="ar"/>
              </w:rPr>
              <w:t xml:space="preserve">0.9065 </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b w:val="0"/>
                <w:bCs w:val="0"/>
                <w:color w:val="000000"/>
                <w:sz w:val="21"/>
                <w:szCs w:val="21"/>
              </w:rPr>
            </w:pPr>
            <w:r>
              <w:rPr>
                <w:rFonts w:hint="default" w:ascii="Times New Roman" w:hAnsi="Times New Roman" w:eastAsia="仿宋" w:cs="Times New Roman"/>
                <w:b w:val="0"/>
                <w:bCs w:val="0"/>
                <w:i w:val="0"/>
                <w:iCs w:val="0"/>
                <w:color w:val="000000"/>
                <w:kern w:val="0"/>
                <w:sz w:val="21"/>
                <w:szCs w:val="21"/>
                <w:u w:val="none"/>
                <w:lang w:val="en-US" w:eastAsia="zh-CN" w:bidi="ar"/>
              </w:rPr>
              <w:t xml:space="preserve">0.0000 </w:t>
            </w: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b w:val="0"/>
                <w:bCs w:val="0"/>
                <w:color w:val="000000"/>
                <w:sz w:val="21"/>
                <w:szCs w:val="21"/>
              </w:rPr>
            </w:pPr>
            <w:r>
              <w:rPr>
                <w:rFonts w:hint="default" w:ascii="Times New Roman" w:hAnsi="Times New Roman" w:eastAsia="仿宋" w:cs="Times New Roman"/>
                <w:b w:val="0"/>
                <w:bCs w:val="0"/>
                <w:i w:val="0"/>
                <w:iCs w:val="0"/>
                <w:color w:val="000000"/>
                <w:kern w:val="0"/>
                <w:sz w:val="21"/>
                <w:szCs w:val="21"/>
                <w:u w:val="none"/>
                <w:lang w:val="en-US" w:eastAsia="zh-CN" w:bidi="ar"/>
              </w:rPr>
              <w:t xml:space="preserve">0.9065 </w:t>
            </w:r>
          </w:p>
        </w:tc>
      </w:tr>
      <w:tr>
        <w:tblPrEx>
          <w:tblCellMar>
            <w:top w:w="0" w:type="dxa"/>
            <w:left w:w="108" w:type="dxa"/>
            <w:bottom w:w="0" w:type="dxa"/>
            <w:right w:w="108" w:type="dxa"/>
          </w:tblCellMar>
        </w:tblPrEx>
        <w:trPr>
          <w:trHeight w:val="334" w:hRule="atLeast"/>
        </w:trPr>
        <w:tc>
          <w:tcPr>
            <w:tcW w:w="46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40" w:lineRule="auto"/>
              <w:ind w:firstLine="0" w:firstLineChars="0"/>
              <w:jc w:val="center"/>
              <w:rPr>
                <w:rFonts w:cs="仿宋"/>
                <w:color w:val="000000"/>
                <w:sz w:val="21"/>
                <w:szCs w:val="21"/>
              </w:rPr>
            </w:pPr>
          </w:p>
        </w:tc>
        <w:tc>
          <w:tcPr>
            <w:tcW w:w="48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cs="仿宋"/>
                <w:color w:val="000000"/>
                <w:sz w:val="21"/>
                <w:szCs w:val="21"/>
              </w:rPr>
            </w:pPr>
            <w:r>
              <w:rPr>
                <w:rFonts w:hint="eastAsia" w:cs="仿宋"/>
                <w:color w:val="000000"/>
                <w:kern w:val="0"/>
                <w:sz w:val="21"/>
                <w:szCs w:val="21"/>
                <w:lang w:bidi="ar"/>
              </w:rPr>
              <w:t>其中</w:t>
            </w:r>
          </w:p>
        </w:tc>
        <w:tc>
          <w:tcPr>
            <w:tcW w:w="14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cs="仿宋"/>
                <w:color w:val="000000"/>
                <w:sz w:val="21"/>
                <w:szCs w:val="21"/>
              </w:rPr>
            </w:pPr>
            <w:r>
              <w:rPr>
                <w:rFonts w:hint="eastAsia" w:cs="仿宋"/>
                <w:color w:val="000000"/>
                <w:kern w:val="0"/>
                <w:sz w:val="21"/>
                <w:szCs w:val="21"/>
                <w:lang w:bidi="ar"/>
              </w:rPr>
              <w:t>水田</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b w:val="0"/>
                <w:bCs w:val="0"/>
                <w:color w:val="000000"/>
                <w:sz w:val="21"/>
                <w:szCs w:val="21"/>
              </w:rPr>
            </w:pPr>
            <w:r>
              <w:rPr>
                <w:rFonts w:hint="default" w:ascii="Times New Roman" w:hAnsi="Times New Roman" w:eastAsia="仿宋" w:cs="Times New Roman"/>
                <w:b w:val="0"/>
                <w:bCs w:val="0"/>
                <w:i w:val="0"/>
                <w:iCs w:val="0"/>
                <w:color w:val="000000"/>
                <w:kern w:val="0"/>
                <w:sz w:val="21"/>
                <w:szCs w:val="21"/>
                <w:u w:val="none"/>
                <w:lang w:val="en-US" w:eastAsia="zh-CN" w:bidi="ar"/>
              </w:rPr>
              <w:t xml:space="preserve">0.4677 </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b w:val="0"/>
                <w:bCs w:val="0"/>
                <w:color w:val="000000"/>
                <w:sz w:val="21"/>
                <w:szCs w:val="21"/>
              </w:rPr>
            </w:pPr>
            <w:r>
              <w:rPr>
                <w:rFonts w:hint="default" w:ascii="Times New Roman" w:hAnsi="Times New Roman" w:eastAsia="仿宋" w:cs="Times New Roman"/>
                <w:b w:val="0"/>
                <w:bCs w:val="0"/>
                <w:i w:val="0"/>
                <w:iCs w:val="0"/>
                <w:color w:val="000000"/>
                <w:kern w:val="0"/>
                <w:sz w:val="21"/>
                <w:szCs w:val="21"/>
                <w:u w:val="none"/>
                <w:lang w:val="en-US" w:eastAsia="zh-CN" w:bidi="ar"/>
              </w:rPr>
              <w:t xml:space="preserve">0.0000 </w:t>
            </w: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b w:val="0"/>
                <w:bCs w:val="0"/>
                <w:color w:val="000000"/>
                <w:sz w:val="21"/>
                <w:szCs w:val="21"/>
              </w:rPr>
            </w:pPr>
            <w:r>
              <w:rPr>
                <w:rFonts w:hint="default" w:ascii="Times New Roman" w:hAnsi="Times New Roman" w:eastAsia="仿宋" w:cs="Times New Roman"/>
                <w:b w:val="0"/>
                <w:bCs w:val="0"/>
                <w:i w:val="0"/>
                <w:iCs w:val="0"/>
                <w:color w:val="000000"/>
                <w:kern w:val="0"/>
                <w:sz w:val="21"/>
                <w:szCs w:val="21"/>
                <w:u w:val="none"/>
                <w:lang w:val="en-US" w:eastAsia="zh-CN" w:bidi="ar"/>
              </w:rPr>
              <w:t xml:space="preserve">0.4677 </w:t>
            </w:r>
          </w:p>
        </w:tc>
      </w:tr>
      <w:tr>
        <w:tblPrEx>
          <w:tblCellMar>
            <w:top w:w="0" w:type="dxa"/>
            <w:left w:w="108" w:type="dxa"/>
            <w:bottom w:w="0" w:type="dxa"/>
            <w:right w:w="108" w:type="dxa"/>
          </w:tblCellMar>
        </w:tblPrEx>
        <w:trPr>
          <w:trHeight w:val="334" w:hRule="atLeast"/>
        </w:trPr>
        <w:tc>
          <w:tcPr>
            <w:tcW w:w="46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40" w:lineRule="auto"/>
              <w:ind w:firstLine="0" w:firstLineChars="0"/>
              <w:jc w:val="center"/>
              <w:rPr>
                <w:rFonts w:cs="仿宋"/>
                <w:color w:val="000000"/>
                <w:sz w:val="21"/>
                <w:szCs w:val="21"/>
              </w:rPr>
            </w:pPr>
          </w:p>
        </w:tc>
        <w:tc>
          <w:tcPr>
            <w:tcW w:w="48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40" w:lineRule="auto"/>
              <w:ind w:firstLine="0" w:firstLineChars="0"/>
              <w:jc w:val="center"/>
              <w:rPr>
                <w:rFonts w:cs="仿宋"/>
                <w:color w:val="000000"/>
                <w:sz w:val="21"/>
                <w:szCs w:val="21"/>
              </w:rPr>
            </w:pPr>
          </w:p>
        </w:tc>
        <w:tc>
          <w:tcPr>
            <w:tcW w:w="14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cs="仿宋"/>
                <w:color w:val="000000"/>
                <w:sz w:val="21"/>
                <w:szCs w:val="21"/>
              </w:rPr>
            </w:pPr>
            <w:r>
              <w:rPr>
                <w:rFonts w:hint="eastAsia" w:cs="仿宋"/>
                <w:color w:val="000000"/>
                <w:kern w:val="0"/>
                <w:sz w:val="21"/>
                <w:szCs w:val="21"/>
                <w:lang w:bidi="ar"/>
              </w:rPr>
              <w:t>水浇地</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b w:val="0"/>
                <w:bCs w:val="0"/>
                <w:color w:val="000000"/>
                <w:sz w:val="21"/>
                <w:szCs w:val="21"/>
              </w:rPr>
            </w:pPr>
            <w:r>
              <w:rPr>
                <w:rFonts w:hint="default" w:ascii="Times New Roman" w:hAnsi="Times New Roman" w:eastAsia="仿宋" w:cs="Times New Roman"/>
                <w:b w:val="0"/>
                <w:bCs w:val="0"/>
                <w:i w:val="0"/>
                <w:iCs w:val="0"/>
                <w:color w:val="000000"/>
                <w:kern w:val="0"/>
                <w:sz w:val="21"/>
                <w:szCs w:val="21"/>
                <w:u w:val="none"/>
                <w:lang w:val="en-US" w:eastAsia="zh-CN" w:bidi="ar"/>
              </w:rPr>
              <w:t xml:space="preserve">0.1092 </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b w:val="0"/>
                <w:bCs w:val="0"/>
                <w:color w:val="000000"/>
                <w:sz w:val="21"/>
                <w:szCs w:val="21"/>
              </w:rPr>
            </w:pPr>
            <w:r>
              <w:rPr>
                <w:rFonts w:hint="default" w:ascii="Times New Roman" w:hAnsi="Times New Roman" w:eastAsia="仿宋" w:cs="Times New Roman"/>
                <w:b w:val="0"/>
                <w:bCs w:val="0"/>
                <w:i w:val="0"/>
                <w:iCs w:val="0"/>
                <w:color w:val="000000"/>
                <w:kern w:val="0"/>
                <w:sz w:val="21"/>
                <w:szCs w:val="21"/>
                <w:u w:val="none"/>
                <w:lang w:val="en-US" w:eastAsia="zh-CN" w:bidi="ar"/>
              </w:rPr>
              <w:t xml:space="preserve">0.0000 </w:t>
            </w: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b w:val="0"/>
                <w:bCs w:val="0"/>
                <w:color w:val="000000"/>
                <w:sz w:val="21"/>
                <w:szCs w:val="21"/>
              </w:rPr>
            </w:pPr>
            <w:r>
              <w:rPr>
                <w:rFonts w:hint="default" w:ascii="Times New Roman" w:hAnsi="Times New Roman" w:eastAsia="仿宋" w:cs="Times New Roman"/>
                <w:b w:val="0"/>
                <w:bCs w:val="0"/>
                <w:i w:val="0"/>
                <w:iCs w:val="0"/>
                <w:color w:val="000000"/>
                <w:kern w:val="0"/>
                <w:sz w:val="21"/>
                <w:szCs w:val="21"/>
                <w:u w:val="none"/>
                <w:lang w:val="en-US" w:eastAsia="zh-CN" w:bidi="ar"/>
              </w:rPr>
              <w:t xml:space="preserve">0.1092 </w:t>
            </w:r>
          </w:p>
        </w:tc>
      </w:tr>
      <w:tr>
        <w:tblPrEx>
          <w:tblCellMar>
            <w:top w:w="0" w:type="dxa"/>
            <w:left w:w="108" w:type="dxa"/>
            <w:bottom w:w="0" w:type="dxa"/>
            <w:right w:w="108" w:type="dxa"/>
          </w:tblCellMar>
        </w:tblPrEx>
        <w:trPr>
          <w:trHeight w:val="334" w:hRule="atLeast"/>
        </w:trPr>
        <w:tc>
          <w:tcPr>
            <w:tcW w:w="46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40" w:lineRule="auto"/>
              <w:ind w:firstLine="0" w:firstLineChars="0"/>
              <w:jc w:val="center"/>
              <w:rPr>
                <w:rFonts w:cs="仿宋"/>
                <w:color w:val="000000"/>
                <w:sz w:val="21"/>
                <w:szCs w:val="21"/>
              </w:rPr>
            </w:pPr>
          </w:p>
        </w:tc>
        <w:tc>
          <w:tcPr>
            <w:tcW w:w="48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40" w:lineRule="auto"/>
              <w:ind w:firstLine="0" w:firstLineChars="0"/>
              <w:jc w:val="center"/>
              <w:rPr>
                <w:rFonts w:cs="仿宋"/>
                <w:color w:val="000000"/>
                <w:sz w:val="21"/>
                <w:szCs w:val="21"/>
              </w:rPr>
            </w:pPr>
          </w:p>
        </w:tc>
        <w:tc>
          <w:tcPr>
            <w:tcW w:w="14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cs="仿宋"/>
                <w:color w:val="000000"/>
                <w:sz w:val="21"/>
                <w:szCs w:val="21"/>
              </w:rPr>
            </w:pPr>
            <w:r>
              <w:rPr>
                <w:rFonts w:hint="eastAsia" w:cs="仿宋"/>
                <w:color w:val="000000"/>
                <w:kern w:val="0"/>
                <w:sz w:val="21"/>
                <w:szCs w:val="21"/>
                <w:lang w:bidi="ar"/>
              </w:rPr>
              <w:t>旱地</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b w:val="0"/>
                <w:bCs w:val="0"/>
                <w:color w:val="000000"/>
                <w:sz w:val="21"/>
                <w:szCs w:val="21"/>
              </w:rPr>
            </w:pPr>
            <w:r>
              <w:rPr>
                <w:rFonts w:hint="default" w:ascii="Times New Roman" w:hAnsi="Times New Roman" w:eastAsia="仿宋" w:cs="Times New Roman"/>
                <w:b w:val="0"/>
                <w:bCs w:val="0"/>
                <w:i w:val="0"/>
                <w:iCs w:val="0"/>
                <w:color w:val="000000"/>
                <w:kern w:val="0"/>
                <w:sz w:val="21"/>
                <w:szCs w:val="21"/>
                <w:u w:val="none"/>
                <w:lang w:val="en-US" w:eastAsia="zh-CN" w:bidi="ar"/>
              </w:rPr>
              <w:t xml:space="preserve">0.3296 </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b w:val="0"/>
                <w:bCs w:val="0"/>
                <w:color w:val="000000"/>
                <w:sz w:val="21"/>
                <w:szCs w:val="21"/>
              </w:rPr>
            </w:pPr>
            <w:r>
              <w:rPr>
                <w:rFonts w:hint="default" w:ascii="Times New Roman" w:hAnsi="Times New Roman" w:eastAsia="仿宋" w:cs="Times New Roman"/>
                <w:b w:val="0"/>
                <w:bCs w:val="0"/>
                <w:i w:val="0"/>
                <w:iCs w:val="0"/>
                <w:color w:val="000000"/>
                <w:kern w:val="0"/>
                <w:sz w:val="21"/>
                <w:szCs w:val="21"/>
                <w:u w:val="none"/>
                <w:lang w:val="en-US" w:eastAsia="zh-CN" w:bidi="ar"/>
              </w:rPr>
              <w:t xml:space="preserve">0.0000 </w:t>
            </w: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b w:val="0"/>
                <w:bCs w:val="0"/>
                <w:color w:val="000000"/>
                <w:sz w:val="21"/>
                <w:szCs w:val="21"/>
              </w:rPr>
            </w:pPr>
            <w:r>
              <w:rPr>
                <w:rFonts w:hint="default" w:ascii="Times New Roman" w:hAnsi="Times New Roman" w:eastAsia="仿宋" w:cs="Times New Roman"/>
                <w:b w:val="0"/>
                <w:bCs w:val="0"/>
                <w:i w:val="0"/>
                <w:iCs w:val="0"/>
                <w:color w:val="000000"/>
                <w:kern w:val="0"/>
                <w:sz w:val="21"/>
                <w:szCs w:val="21"/>
                <w:u w:val="none"/>
                <w:lang w:val="en-US" w:eastAsia="zh-CN" w:bidi="ar"/>
              </w:rPr>
              <w:t xml:space="preserve">0.3296 </w:t>
            </w:r>
          </w:p>
        </w:tc>
      </w:tr>
      <w:tr>
        <w:tblPrEx>
          <w:tblCellMar>
            <w:top w:w="0" w:type="dxa"/>
            <w:left w:w="108" w:type="dxa"/>
            <w:bottom w:w="0" w:type="dxa"/>
            <w:right w:w="108" w:type="dxa"/>
          </w:tblCellMar>
        </w:tblPrEx>
        <w:trPr>
          <w:trHeight w:val="334" w:hRule="atLeast"/>
        </w:trPr>
        <w:tc>
          <w:tcPr>
            <w:tcW w:w="46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40" w:lineRule="auto"/>
              <w:ind w:firstLine="0" w:firstLineChars="0"/>
              <w:jc w:val="center"/>
              <w:rPr>
                <w:rFonts w:cs="仿宋"/>
                <w:color w:val="000000"/>
                <w:sz w:val="21"/>
                <w:szCs w:val="21"/>
              </w:rPr>
            </w:pPr>
          </w:p>
        </w:tc>
        <w:tc>
          <w:tcPr>
            <w:tcW w:w="189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cs="仿宋"/>
                <w:color w:val="000000"/>
                <w:sz w:val="21"/>
                <w:szCs w:val="21"/>
              </w:rPr>
            </w:pPr>
            <w:r>
              <w:rPr>
                <w:rFonts w:hint="eastAsia" w:cs="仿宋"/>
                <w:color w:val="000000"/>
                <w:kern w:val="0"/>
                <w:sz w:val="21"/>
                <w:szCs w:val="21"/>
                <w:lang w:bidi="ar"/>
              </w:rPr>
              <w:t>非耕农用地</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b w:val="0"/>
                <w:bCs w:val="0"/>
                <w:color w:val="000000"/>
                <w:sz w:val="21"/>
                <w:szCs w:val="21"/>
              </w:rPr>
            </w:pPr>
            <w:r>
              <w:rPr>
                <w:rFonts w:hint="default" w:ascii="Times New Roman" w:hAnsi="Times New Roman" w:eastAsia="仿宋" w:cs="Times New Roman"/>
                <w:b w:val="0"/>
                <w:bCs w:val="0"/>
                <w:i w:val="0"/>
                <w:iCs w:val="0"/>
                <w:color w:val="000000"/>
                <w:kern w:val="0"/>
                <w:sz w:val="21"/>
                <w:szCs w:val="21"/>
                <w:u w:val="none"/>
                <w:lang w:val="en-US" w:eastAsia="zh-CN" w:bidi="ar"/>
              </w:rPr>
              <w:t xml:space="preserve">102.1661 </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b w:val="0"/>
                <w:bCs w:val="0"/>
                <w:color w:val="000000"/>
                <w:sz w:val="21"/>
                <w:szCs w:val="21"/>
              </w:rPr>
            </w:pPr>
            <w:r>
              <w:rPr>
                <w:rFonts w:hint="default" w:ascii="Times New Roman" w:hAnsi="Times New Roman" w:eastAsia="仿宋" w:cs="Times New Roman"/>
                <w:b w:val="0"/>
                <w:bCs w:val="0"/>
                <w:i w:val="0"/>
                <w:iCs w:val="0"/>
                <w:color w:val="000000"/>
                <w:kern w:val="0"/>
                <w:sz w:val="21"/>
                <w:szCs w:val="21"/>
                <w:u w:val="none"/>
                <w:lang w:val="en-US" w:eastAsia="zh-CN" w:bidi="ar"/>
              </w:rPr>
              <w:t xml:space="preserve">0.4036 </w:t>
            </w: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b w:val="0"/>
                <w:bCs w:val="0"/>
                <w:color w:val="000000"/>
                <w:sz w:val="21"/>
                <w:szCs w:val="21"/>
              </w:rPr>
            </w:pPr>
            <w:r>
              <w:rPr>
                <w:rFonts w:hint="default" w:ascii="Times New Roman" w:hAnsi="Times New Roman" w:eastAsia="仿宋" w:cs="Times New Roman"/>
                <w:b w:val="0"/>
                <w:bCs w:val="0"/>
                <w:i w:val="0"/>
                <w:iCs w:val="0"/>
                <w:color w:val="000000"/>
                <w:kern w:val="0"/>
                <w:sz w:val="21"/>
                <w:szCs w:val="21"/>
                <w:u w:val="none"/>
                <w:lang w:val="en-US" w:eastAsia="zh-CN" w:bidi="ar"/>
              </w:rPr>
              <w:t xml:space="preserve">101.7625 </w:t>
            </w:r>
          </w:p>
        </w:tc>
      </w:tr>
      <w:tr>
        <w:tblPrEx>
          <w:tblCellMar>
            <w:top w:w="0" w:type="dxa"/>
            <w:left w:w="108" w:type="dxa"/>
            <w:bottom w:w="0" w:type="dxa"/>
            <w:right w:w="108" w:type="dxa"/>
          </w:tblCellMar>
        </w:tblPrEx>
        <w:trPr>
          <w:trHeight w:val="334" w:hRule="atLeast"/>
        </w:trPr>
        <w:tc>
          <w:tcPr>
            <w:tcW w:w="46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40" w:lineRule="auto"/>
              <w:ind w:firstLine="0" w:firstLineChars="0"/>
              <w:jc w:val="center"/>
              <w:rPr>
                <w:rFonts w:cs="仿宋"/>
                <w:color w:val="000000"/>
                <w:sz w:val="21"/>
                <w:szCs w:val="21"/>
              </w:rPr>
            </w:pPr>
          </w:p>
        </w:tc>
        <w:tc>
          <w:tcPr>
            <w:tcW w:w="48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cs="仿宋"/>
                <w:color w:val="000000"/>
                <w:sz w:val="21"/>
                <w:szCs w:val="21"/>
              </w:rPr>
            </w:pPr>
            <w:r>
              <w:rPr>
                <w:rFonts w:hint="eastAsia" w:cs="仿宋"/>
                <w:color w:val="000000"/>
                <w:kern w:val="0"/>
                <w:sz w:val="21"/>
                <w:szCs w:val="21"/>
                <w:lang w:bidi="ar"/>
              </w:rPr>
              <w:t>其中</w:t>
            </w:r>
          </w:p>
        </w:tc>
        <w:tc>
          <w:tcPr>
            <w:tcW w:w="14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cs="仿宋"/>
                <w:color w:val="000000"/>
                <w:sz w:val="21"/>
                <w:szCs w:val="21"/>
              </w:rPr>
            </w:pPr>
            <w:r>
              <w:rPr>
                <w:rFonts w:hint="eastAsia" w:cs="仿宋"/>
                <w:color w:val="000000"/>
                <w:kern w:val="0"/>
                <w:sz w:val="21"/>
                <w:szCs w:val="21"/>
                <w:lang w:bidi="ar"/>
              </w:rPr>
              <w:t>园地</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b w:val="0"/>
                <w:bCs w:val="0"/>
                <w:color w:val="000000"/>
                <w:sz w:val="21"/>
                <w:szCs w:val="21"/>
              </w:rPr>
            </w:pPr>
            <w:r>
              <w:rPr>
                <w:rFonts w:hint="default" w:ascii="Times New Roman" w:hAnsi="Times New Roman" w:eastAsia="仿宋" w:cs="Times New Roman"/>
                <w:b w:val="0"/>
                <w:bCs w:val="0"/>
                <w:i w:val="0"/>
                <w:iCs w:val="0"/>
                <w:color w:val="000000"/>
                <w:kern w:val="0"/>
                <w:sz w:val="21"/>
                <w:szCs w:val="21"/>
                <w:u w:val="none"/>
                <w:lang w:val="en-US" w:eastAsia="zh-CN" w:bidi="ar"/>
              </w:rPr>
              <w:t xml:space="preserve">10.7926 </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b w:val="0"/>
                <w:bCs w:val="0"/>
                <w:color w:val="000000"/>
                <w:sz w:val="21"/>
                <w:szCs w:val="21"/>
              </w:rPr>
            </w:pPr>
            <w:r>
              <w:rPr>
                <w:rFonts w:hint="default" w:ascii="Times New Roman" w:hAnsi="Times New Roman" w:eastAsia="仿宋" w:cs="Times New Roman"/>
                <w:b w:val="0"/>
                <w:bCs w:val="0"/>
                <w:i w:val="0"/>
                <w:iCs w:val="0"/>
                <w:color w:val="000000"/>
                <w:kern w:val="0"/>
                <w:sz w:val="21"/>
                <w:szCs w:val="21"/>
                <w:u w:val="none"/>
                <w:lang w:val="en-US" w:eastAsia="zh-CN" w:bidi="ar"/>
              </w:rPr>
              <w:t xml:space="preserve">0.0000 </w:t>
            </w: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b w:val="0"/>
                <w:bCs w:val="0"/>
                <w:color w:val="000000"/>
                <w:sz w:val="21"/>
                <w:szCs w:val="21"/>
              </w:rPr>
            </w:pPr>
            <w:r>
              <w:rPr>
                <w:rFonts w:hint="default" w:ascii="Times New Roman" w:hAnsi="Times New Roman" w:eastAsia="仿宋" w:cs="Times New Roman"/>
                <w:b w:val="0"/>
                <w:bCs w:val="0"/>
                <w:i w:val="0"/>
                <w:iCs w:val="0"/>
                <w:color w:val="000000"/>
                <w:kern w:val="0"/>
                <w:sz w:val="21"/>
                <w:szCs w:val="21"/>
                <w:u w:val="none"/>
                <w:lang w:val="en-US" w:eastAsia="zh-CN" w:bidi="ar"/>
              </w:rPr>
              <w:t xml:space="preserve">10.7926 </w:t>
            </w:r>
          </w:p>
        </w:tc>
      </w:tr>
      <w:tr>
        <w:tblPrEx>
          <w:tblCellMar>
            <w:top w:w="0" w:type="dxa"/>
            <w:left w:w="108" w:type="dxa"/>
            <w:bottom w:w="0" w:type="dxa"/>
            <w:right w:w="108" w:type="dxa"/>
          </w:tblCellMar>
        </w:tblPrEx>
        <w:trPr>
          <w:trHeight w:val="334" w:hRule="atLeast"/>
        </w:trPr>
        <w:tc>
          <w:tcPr>
            <w:tcW w:w="46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40" w:lineRule="auto"/>
              <w:ind w:firstLine="0" w:firstLineChars="0"/>
              <w:jc w:val="center"/>
              <w:rPr>
                <w:rFonts w:cs="仿宋"/>
                <w:color w:val="000000"/>
                <w:sz w:val="21"/>
                <w:szCs w:val="21"/>
              </w:rPr>
            </w:pPr>
          </w:p>
        </w:tc>
        <w:tc>
          <w:tcPr>
            <w:tcW w:w="48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40" w:lineRule="auto"/>
              <w:ind w:firstLine="0" w:firstLineChars="0"/>
              <w:jc w:val="center"/>
              <w:rPr>
                <w:rFonts w:cs="仿宋"/>
                <w:color w:val="000000"/>
                <w:sz w:val="21"/>
                <w:szCs w:val="21"/>
              </w:rPr>
            </w:pPr>
          </w:p>
        </w:tc>
        <w:tc>
          <w:tcPr>
            <w:tcW w:w="14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cs="仿宋"/>
                <w:color w:val="000000"/>
                <w:sz w:val="21"/>
                <w:szCs w:val="21"/>
              </w:rPr>
            </w:pPr>
            <w:r>
              <w:rPr>
                <w:rFonts w:hint="eastAsia" w:cs="仿宋"/>
                <w:color w:val="000000"/>
                <w:kern w:val="0"/>
                <w:sz w:val="21"/>
                <w:szCs w:val="21"/>
                <w:lang w:bidi="ar"/>
              </w:rPr>
              <w:t>林地</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b w:val="0"/>
                <w:bCs w:val="0"/>
                <w:color w:val="000000"/>
                <w:sz w:val="21"/>
                <w:szCs w:val="21"/>
              </w:rPr>
            </w:pPr>
            <w:r>
              <w:rPr>
                <w:rFonts w:hint="default" w:ascii="Times New Roman" w:hAnsi="Times New Roman" w:eastAsia="仿宋" w:cs="Times New Roman"/>
                <w:b w:val="0"/>
                <w:bCs w:val="0"/>
                <w:i w:val="0"/>
                <w:iCs w:val="0"/>
                <w:color w:val="000000"/>
                <w:kern w:val="0"/>
                <w:sz w:val="21"/>
                <w:szCs w:val="21"/>
                <w:u w:val="none"/>
                <w:lang w:val="en-US" w:eastAsia="zh-CN" w:bidi="ar"/>
              </w:rPr>
              <w:t xml:space="preserve">80.7200 </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b w:val="0"/>
                <w:bCs w:val="0"/>
                <w:color w:val="000000"/>
                <w:sz w:val="21"/>
                <w:szCs w:val="21"/>
              </w:rPr>
            </w:pPr>
            <w:r>
              <w:rPr>
                <w:rFonts w:hint="default" w:ascii="Times New Roman" w:hAnsi="Times New Roman" w:eastAsia="仿宋" w:cs="Times New Roman"/>
                <w:b w:val="0"/>
                <w:bCs w:val="0"/>
                <w:i w:val="0"/>
                <w:iCs w:val="0"/>
                <w:color w:val="000000"/>
                <w:kern w:val="0"/>
                <w:sz w:val="21"/>
                <w:szCs w:val="21"/>
                <w:u w:val="none"/>
                <w:lang w:val="en-US" w:eastAsia="zh-CN" w:bidi="ar"/>
              </w:rPr>
              <w:t xml:space="preserve">0.2763 </w:t>
            </w: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b w:val="0"/>
                <w:bCs w:val="0"/>
                <w:color w:val="000000"/>
                <w:sz w:val="21"/>
                <w:szCs w:val="21"/>
              </w:rPr>
            </w:pPr>
            <w:r>
              <w:rPr>
                <w:rFonts w:hint="default" w:ascii="Times New Roman" w:hAnsi="Times New Roman" w:eastAsia="仿宋" w:cs="Times New Roman"/>
                <w:b w:val="0"/>
                <w:bCs w:val="0"/>
                <w:i w:val="0"/>
                <w:iCs w:val="0"/>
                <w:color w:val="000000"/>
                <w:kern w:val="0"/>
                <w:sz w:val="21"/>
                <w:szCs w:val="21"/>
                <w:u w:val="none"/>
                <w:lang w:val="en-US" w:eastAsia="zh-CN" w:bidi="ar"/>
              </w:rPr>
              <w:t xml:space="preserve">80.4437 </w:t>
            </w:r>
          </w:p>
        </w:tc>
      </w:tr>
      <w:tr>
        <w:tblPrEx>
          <w:tblCellMar>
            <w:top w:w="0" w:type="dxa"/>
            <w:left w:w="108" w:type="dxa"/>
            <w:bottom w:w="0" w:type="dxa"/>
            <w:right w:w="108" w:type="dxa"/>
          </w:tblCellMar>
        </w:tblPrEx>
        <w:trPr>
          <w:trHeight w:val="334" w:hRule="atLeast"/>
        </w:trPr>
        <w:tc>
          <w:tcPr>
            <w:tcW w:w="46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40" w:lineRule="auto"/>
              <w:ind w:firstLine="0" w:firstLineChars="0"/>
              <w:jc w:val="center"/>
              <w:rPr>
                <w:rFonts w:cs="仿宋"/>
                <w:color w:val="000000"/>
                <w:sz w:val="21"/>
                <w:szCs w:val="21"/>
              </w:rPr>
            </w:pPr>
          </w:p>
        </w:tc>
        <w:tc>
          <w:tcPr>
            <w:tcW w:w="48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40" w:lineRule="auto"/>
              <w:ind w:firstLine="0" w:firstLineChars="0"/>
              <w:jc w:val="center"/>
              <w:rPr>
                <w:rFonts w:cs="仿宋"/>
                <w:color w:val="000000"/>
                <w:sz w:val="21"/>
                <w:szCs w:val="21"/>
              </w:rPr>
            </w:pPr>
          </w:p>
        </w:tc>
        <w:tc>
          <w:tcPr>
            <w:tcW w:w="14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cs="仿宋"/>
                <w:color w:val="000000"/>
                <w:sz w:val="21"/>
                <w:szCs w:val="21"/>
              </w:rPr>
            </w:pPr>
            <w:r>
              <w:rPr>
                <w:rFonts w:hint="eastAsia" w:cs="仿宋"/>
                <w:color w:val="000000"/>
                <w:kern w:val="0"/>
                <w:sz w:val="21"/>
                <w:szCs w:val="21"/>
                <w:lang w:bidi="ar"/>
              </w:rPr>
              <w:t>草地</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b w:val="0"/>
                <w:bCs w:val="0"/>
                <w:color w:val="000000"/>
                <w:sz w:val="21"/>
                <w:szCs w:val="21"/>
              </w:rPr>
            </w:pPr>
            <w:r>
              <w:rPr>
                <w:rFonts w:hint="default" w:ascii="Times New Roman" w:hAnsi="Times New Roman" w:eastAsia="仿宋" w:cs="Times New Roman"/>
                <w:b w:val="0"/>
                <w:bCs w:val="0"/>
                <w:i w:val="0"/>
                <w:iCs w:val="0"/>
                <w:color w:val="000000"/>
                <w:kern w:val="0"/>
                <w:sz w:val="21"/>
                <w:szCs w:val="21"/>
                <w:u w:val="none"/>
                <w:lang w:val="en-US" w:eastAsia="zh-CN" w:bidi="ar"/>
              </w:rPr>
              <w:t xml:space="preserve">4.2009 </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b w:val="0"/>
                <w:bCs w:val="0"/>
                <w:color w:val="000000"/>
                <w:sz w:val="21"/>
                <w:szCs w:val="21"/>
              </w:rPr>
            </w:pPr>
            <w:r>
              <w:rPr>
                <w:rFonts w:hint="default" w:ascii="Times New Roman" w:hAnsi="Times New Roman" w:eastAsia="仿宋" w:cs="Times New Roman"/>
                <w:b w:val="0"/>
                <w:bCs w:val="0"/>
                <w:i w:val="0"/>
                <w:iCs w:val="0"/>
                <w:color w:val="000000"/>
                <w:kern w:val="0"/>
                <w:sz w:val="21"/>
                <w:szCs w:val="21"/>
                <w:u w:val="none"/>
                <w:lang w:val="en-US" w:eastAsia="zh-CN" w:bidi="ar"/>
              </w:rPr>
              <w:t xml:space="preserve">0.0284 </w:t>
            </w: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b w:val="0"/>
                <w:bCs w:val="0"/>
                <w:color w:val="000000"/>
                <w:sz w:val="21"/>
                <w:szCs w:val="21"/>
              </w:rPr>
            </w:pPr>
            <w:r>
              <w:rPr>
                <w:rFonts w:hint="default" w:ascii="Times New Roman" w:hAnsi="Times New Roman" w:eastAsia="仿宋" w:cs="Times New Roman"/>
                <w:b w:val="0"/>
                <w:bCs w:val="0"/>
                <w:i w:val="0"/>
                <w:iCs w:val="0"/>
                <w:color w:val="000000"/>
                <w:kern w:val="0"/>
                <w:sz w:val="21"/>
                <w:szCs w:val="21"/>
                <w:u w:val="none"/>
                <w:lang w:val="en-US" w:eastAsia="zh-CN" w:bidi="ar"/>
              </w:rPr>
              <w:t xml:space="preserve">4.1725 </w:t>
            </w:r>
          </w:p>
        </w:tc>
      </w:tr>
      <w:tr>
        <w:tblPrEx>
          <w:tblCellMar>
            <w:top w:w="0" w:type="dxa"/>
            <w:left w:w="108" w:type="dxa"/>
            <w:bottom w:w="0" w:type="dxa"/>
            <w:right w:w="108" w:type="dxa"/>
          </w:tblCellMar>
        </w:tblPrEx>
        <w:trPr>
          <w:trHeight w:val="334" w:hRule="atLeast"/>
        </w:trPr>
        <w:tc>
          <w:tcPr>
            <w:tcW w:w="46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40" w:lineRule="auto"/>
              <w:ind w:firstLine="0" w:firstLineChars="0"/>
              <w:jc w:val="center"/>
              <w:rPr>
                <w:rFonts w:cs="仿宋"/>
                <w:color w:val="000000"/>
                <w:sz w:val="21"/>
                <w:szCs w:val="21"/>
              </w:rPr>
            </w:pPr>
          </w:p>
        </w:tc>
        <w:tc>
          <w:tcPr>
            <w:tcW w:w="48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40" w:lineRule="auto"/>
              <w:ind w:firstLine="0" w:firstLineChars="0"/>
              <w:jc w:val="center"/>
              <w:rPr>
                <w:rFonts w:cs="仿宋"/>
                <w:color w:val="000000"/>
                <w:sz w:val="21"/>
                <w:szCs w:val="21"/>
              </w:rPr>
            </w:pPr>
          </w:p>
        </w:tc>
        <w:tc>
          <w:tcPr>
            <w:tcW w:w="14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cs="仿宋"/>
                <w:color w:val="000000"/>
                <w:sz w:val="21"/>
                <w:szCs w:val="21"/>
              </w:rPr>
            </w:pPr>
            <w:r>
              <w:rPr>
                <w:rFonts w:hint="eastAsia" w:cs="仿宋"/>
                <w:color w:val="000000"/>
                <w:kern w:val="0"/>
                <w:sz w:val="21"/>
                <w:szCs w:val="21"/>
                <w:lang w:bidi="ar"/>
              </w:rPr>
              <w:t>可调整地类</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b w:val="0"/>
                <w:bCs w:val="0"/>
                <w:color w:val="000000"/>
                <w:sz w:val="21"/>
                <w:szCs w:val="21"/>
              </w:rPr>
            </w:pPr>
            <w:r>
              <w:rPr>
                <w:rFonts w:hint="default" w:ascii="Times New Roman" w:hAnsi="Times New Roman" w:eastAsia="仿宋" w:cs="Times New Roman"/>
                <w:b w:val="0"/>
                <w:bCs w:val="0"/>
                <w:i w:val="0"/>
                <w:iCs w:val="0"/>
                <w:color w:val="000000"/>
                <w:kern w:val="0"/>
                <w:sz w:val="21"/>
                <w:szCs w:val="21"/>
                <w:u w:val="none"/>
                <w:lang w:val="en-US" w:eastAsia="zh-CN" w:bidi="ar"/>
              </w:rPr>
              <w:t xml:space="preserve">0.0000 </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b w:val="0"/>
                <w:bCs w:val="0"/>
                <w:color w:val="000000"/>
                <w:sz w:val="21"/>
                <w:szCs w:val="21"/>
              </w:rPr>
            </w:pPr>
            <w:r>
              <w:rPr>
                <w:rFonts w:hint="default" w:ascii="Times New Roman" w:hAnsi="Times New Roman" w:eastAsia="仿宋" w:cs="Times New Roman"/>
                <w:b w:val="0"/>
                <w:bCs w:val="0"/>
                <w:i w:val="0"/>
                <w:iCs w:val="0"/>
                <w:color w:val="000000"/>
                <w:kern w:val="0"/>
                <w:sz w:val="21"/>
                <w:szCs w:val="21"/>
                <w:u w:val="none"/>
                <w:lang w:val="en-US" w:eastAsia="zh-CN" w:bidi="ar"/>
              </w:rPr>
              <w:t xml:space="preserve">0.0000 </w:t>
            </w: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b w:val="0"/>
                <w:bCs w:val="0"/>
                <w:color w:val="000000"/>
                <w:sz w:val="21"/>
                <w:szCs w:val="21"/>
              </w:rPr>
            </w:pPr>
            <w:r>
              <w:rPr>
                <w:rFonts w:hint="default" w:ascii="Times New Roman" w:hAnsi="Times New Roman" w:eastAsia="仿宋" w:cs="Times New Roman"/>
                <w:b w:val="0"/>
                <w:bCs w:val="0"/>
                <w:i w:val="0"/>
                <w:iCs w:val="0"/>
                <w:color w:val="000000"/>
                <w:kern w:val="0"/>
                <w:sz w:val="21"/>
                <w:szCs w:val="21"/>
                <w:u w:val="none"/>
                <w:lang w:val="en-US" w:eastAsia="zh-CN" w:bidi="ar"/>
              </w:rPr>
              <w:t xml:space="preserve">0.0000 </w:t>
            </w:r>
          </w:p>
        </w:tc>
      </w:tr>
      <w:tr>
        <w:tblPrEx>
          <w:tblCellMar>
            <w:top w:w="0" w:type="dxa"/>
            <w:left w:w="108" w:type="dxa"/>
            <w:bottom w:w="0" w:type="dxa"/>
            <w:right w:w="108" w:type="dxa"/>
          </w:tblCellMar>
        </w:tblPrEx>
        <w:trPr>
          <w:trHeight w:val="334" w:hRule="atLeast"/>
        </w:trPr>
        <w:tc>
          <w:tcPr>
            <w:tcW w:w="46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40" w:lineRule="auto"/>
              <w:ind w:firstLine="0" w:firstLineChars="0"/>
              <w:jc w:val="center"/>
              <w:rPr>
                <w:rFonts w:cs="仿宋"/>
                <w:color w:val="000000"/>
                <w:sz w:val="21"/>
                <w:szCs w:val="21"/>
              </w:rPr>
            </w:pPr>
          </w:p>
        </w:tc>
        <w:tc>
          <w:tcPr>
            <w:tcW w:w="48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40" w:lineRule="auto"/>
              <w:ind w:firstLine="0" w:firstLineChars="0"/>
              <w:jc w:val="center"/>
              <w:rPr>
                <w:rFonts w:cs="仿宋"/>
                <w:color w:val="000000"/>
                <w:sz w:val="21"/>
                <w:szCs w:val="21"/>
              </w:rPr>
            </w:pPr>
          </w:p>
        </w:tc>
        <w:tc>
          <w:tcPr>
            <w:tcW w:w="14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cs="仿宋"/>
                <w:color w:val="000000"/>
                <w:sz w:val="21"/>
                <w:szCs w:val="21"/>
              </w:rPr>
            </w:pPr>
            <w:r>
              <w:rPr>
                <w:rFonts w:hint="eastAsia" w:cs="仿宋"/>
                <w:color w:val="000000"/>
                <w:kern w:val="0"/>
                <w:sz w:val="21"/>
                <w:szCs w:val="21"/>
                <w:lang w:bidi="ar"/>
              </w:rPr>
              <w:t>其他农用地</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b w:val="0"/>
                <w:bCs w:val="0"/>
                <w:color w:val="000000"/>
                <w:sz w:val="21"/>
                <w:szCs w:val="21"/>
              </w:rPr>
            </w:pPr>
            <w:r>
              <w:rPr>
                <w:rFonts w:hint="default" w:ascii="Times New Roman" w:hAnsi="Times New Roman" w:eastAsia="仿宋" w:cs="Times New Roman"/>
                <w:b w:val="0"/>
                <w:bCs w:val="0"/>
                <w:i w:val="0"/>
                <w:iCs w:val="0"/>
                <w:color w:val="000000"/>
                <w:kern w:val="0"/>
                <w:sz w:val="21"/>
                <w:szCs w:val="21"/>
                <w:u w:val="none"/>
                <w:lang w:val="en-US" w:eastAsia="zh-CN" w:bidi="ar"/>
              </w:rPr>
              <w:t xml:space="preserve">6.4526 </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b w:val="0"/>
                <w:bCs w:val="0"/>
                <w:color w:val="000000"/>
                <w:sz w:val="21"/>
                <w:szCs w:val="21"/>
              </w:rPr>
            </w:pPr>
            <w:r>
              <w:rPr>
                <w:rFonts w:hint="default" w:ascii="Times New Roman" w:hAnsi="Times New Roman" w:eastAsia="仿宋" w:cs="Times New Roman"/>
                <w:b w:val="0"/>
                <w:bCs w:val="0"/>
                <w:i w:val="0"/>
                <w:iCs w:val="0"/>
                <w:color w:val="000000"/>
                <w:kern w:val="0"/>
                <w:sz w:val="21"/>
                <w:szCs w:val="21"/>
                <w:u w:val="none"/>
                <w:lang w:val="en-US" w:eastAsia="zh-CN" w:bidi="ar"/>
              </w:rPr>
              <w:t xml:space="preserve">0.0989 </w:t>
            </w: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b w:val="0"/>
                <w:bCs w:val="0"/>
                <w:color w:val="000000"/>
                <w:sz w:val="21"/>
                <w:szCs w:val="21"/>
              </w:rPr>
            </w:pPr>
            <w:r>
              <w:rPr>
                <w:rFonts w:hint="default" w:ascii="Times New Roman" w:hAnsi="Times New Roman" w:eastAsia="仿宋" w:cs="Times New Roman"/>
                <w:b w:val="0"/>
                <w:bCs w:val="0"/>
                <w:i w:val="0"/>
                <w:iCs w:val="0"/>
                <w:color w:val="000000"/>
                <w:kern w:val="0"/>
                <w:sz w:val="21"/>
                <w:szCs w:val="21"/>
                <w:u w:val="none"/>
                <w:lang w:val="en-US" w:eastAsia="zh-CN" w:bidi="ar"/>
              </w:rPr>
              <w:t xml:space="preserve">6.3537 </w:t>
            </w:r>
          </w:p>
        </w:tc>
      </w:tr>
      <w:tr>
        <w:tblPrEx>
          <w:tblCellMar>
            <w:top w:w="0" w:type="dxa"/>
            <w:left w:w="108" w:type="dxa"/>
            <w:bottom w:w="0" w:type="dxa"/>
            <w:right w:w="108" w:type="dxa"/>
          </w:tblCellMar>
        </w:tblPrEx>
        <w:trPr>
          <w:trHeight w:val="334" w:hRule="atLeast"/>
        </w:trPr>
        <w:tc>
          <w:tcPr>
            <w:tcW w:w="23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cs="仿宋"/>
                <w:color w:val="000000"/>
                <w:sz w:val="21"/>
                <w:szCs w:val="21"/>
              </w:rPr>
            </w:pPr>
            <w:r>
              <w:rPr>
                <w:rFonts w:hint="eastAsia" w:cs="仿宋"/>
                <w:color w:val="000000"/>
                <w:kern w:val="0"/>
                <w:sz w:val="21"/>
                <w:szCs w:val="21"/>
                <w:lang w:bidi="ar"/>
              </w:rPr>
              <w:t>建设用地</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b w:val="0"/>
                <w:bCs w:val="0"/>
                <w:color w:val="000000"/>
                <w:sz w:val="21"/>
                <w:szCs w:val="21"/>
              </w:rPr>
            </w:pPr>
            <w:r>
              <w:rPr>
                <w:rFonts w:hint="default" w:ascii="Times New Roman" w:hAnsi="Times New Roman" w:eastAsia="仿宋" w:cs="Times New Roman"/>
                <w:b w:val="0"/>
                <w:bCs w:val="0"/>
                <w:i w:val="0"/>
                <w:iCs w:val="0"/>
                <w:color w:val="000000"/>
                <w:kern w:val="0"/>
                <w:sz w:val="21"/>
                <w:szCs w:val="21"/>
                <w:u w:val="none"/>
                <w:lang w:val="en-US" w:eastAsia="zh-CN" w:bidi="ar"/>
              </w:rPr>
              <w:t xml:space="preserve">38.3334 </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b w:val="0"/>
                <w:bCs w:val="0"/>
                <w:color w:val="000000"/>
                <w:sz w:val="21"/>
                <w:szCs w:val="21"/>
              </w:rPr>
            </w:pPr>
            <w:r>
              <w:rPr>
                <w:rFonts w:hint="default" w:ascii="Times New Roman" w:hAnsi="Times New Roman" w:eastAsia="仿宋" w:cs="Times New Roman"/>
                <w:b w:val="0"/>
                <w:bCs w:val="0"/>
                <w:i w:val="0"/>
                <w:iCs w:val="0"/>
                <w:color w:val="000000"/>
                <w:kern w:val="0"/>
                <w:sz w:val="21"/>
                <w:szCs w:val="21"/>
                <w:u w:val="none"/>
                <w:lang w:val="en-US" w:eastAsia="zh-CN" w:bidi="ar"/>
              </w:rPr>
              <w:t xml:space="preserve">12.2211 </w:t>
            </w: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b w:val="0"/>
                <w:bCs w:val="0"/>
                <w:color w:val="000000"/>
                <w:sz w:val="21"/>
                <w:szCs w:val="21"/>
              </w:rPr>
            </w:pPr>
            <w:r>
              <w:rPr>
                <w:rFonts w:hint="default" w:ascii="Times New Roman" w:hAnsi="Times New Roman" w:eastAsia="仿宋" w:cs="Times New Roman"/>
                <w:b w:val="0"/>
                <w:bCs w:val="0"/>
                <w:i w:val="0"/>
                <w:iCs w:val="0"/>
                <w:color w:val="000000"/>
                <w:kern w:val="0"/>
                <w:sz w:val="21"/>
                <w:szCs w:val="21"/>
                <w:u w:val="none"/>
                <w:lang w:val="en-US" w:eastAsia="zh-CN" w:bidi="ar"/>
              </w:rPr>
              <w:t xml:space="preserve">26.1123 </w:t>
            </w:r>
          </w:p>
        </w:tc>
      </w:tr>
      <w:tr>
        <w:tblPrEx>
          <w:tblCellMar>
            <w:top w:w="0" w:type="dxa"/>
            <w:left w:w="108" w:type="dxa"/>
            <w:bottom w:w="0" w:type="dxa"/>
            <w:right w:w="108" w:type="dxa"/>
          </w:tblCellMar>
        </w:tblPrEx>
        <w:trPr>
          <w:trHeight w:val="356" w:hRule="atLeast"/>
        </w:trPr>
        <w:tc>
          <w:tcPr>
            <w:tcW w:w="23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cs="仿宋"/>
                <w:color w:val="000000"/>
                <w:sz w:val="21"/>
                <w:szCs w:val="21"/>
              </w:rPr>
            </w:pPr>
            <w:r>
              <w:rPr>
                <w:rFonts w:hint="eastAsia" w:cs="仿宋"/>
                <w:color w:val="000000"/>
                <w:kern w:val="0"/>
                <w:sz w:val="21"/>
                <w:szCs w:val="21"/>
                <w:lang w:bidi="ar"/>
              </w:rPr>
              <w:t>未利用地</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b w:val="0"/>
                <w:bCs w:val="0"/>
                <w:color w:val="000000"/>
                <w:sz w:val="21"/>
                <w:szCs w:val="21"/>
              </w:rPr>
            </w:pPr>
            <w:r>
              <w:rPr>
                <w:rFonts w:hint="default" w:ascii="Times New Roman" w:hAnsi="Times New Roman" w:eastAsia="仿宋" w:cs="Times New Roman"/>
                <w:b w:val="0"/>
                <w:bCs w:val="0"/>
                <w:i w:val="0"/>
                <w:iCs w:val="0"/>
                <w:color w:val="000000"/>
                <w:kern w:val="0"/>
                <w:sz w:val="21"/>
                <w:szCs w:val="21"/>
                <w:u w:val="none"/>
                <w:lang w:val="en-US" w:eastAsia="zh-CN" w:bidi="ar"/>
              </w:rPr>
              <w:t xml:space="preserve">0.0703 </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b w:val="0"/>
                <w:bCs w:val="0"/>
                <w:color w:val="000000"/>
                <w:sz w:val="21"/>
                <w:szCs w:val="21"/>
              </w:rPr>
            </w:pPr>
            <w:r>
              <w:rPr>
                <w:rFonts w:hint="default" w:ascii="Times New Roman" w:hAnsi="Times New Roman" w:eastAsia="仿宋" w:cs="Times New Roman"/>
                <w:b w:val="0"/>
                <w:bCs w:val="0"/>
                <w:i w:val="0"/>
                <w:iCs w:val="0"/>
                <w:color w:val="000000"/>
                <w:kern w:val="0"/>
                <w:sz w:val="21"/>
                <w:szCs w:val="21"/>
                <w:u w:val="none"/>
                <w:lang w:val="en-US" w:eastAsia="zh-CN" w:bidi="ar"/>
              </w:rPr>
              <w:t xml:space="preserve">0.0000 </w:t>
            </w: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b w:val="0"/>
                <w:bCs w:val="0"/>
                <w:color w:val="000000"/>
                <w:sz w:val="21"/>
                <w:szCs w:val="21"/>
              </w:rPr>
            </w:pPr>
            <w:r>
              <w:rPr>
                <w:rFonts w:hint="default" w:ascii="Times New Roman" w:hAnsi="Times New Roman" w:eastAsia="仿宋" w:cs="Times New Roman"/>
                <w:b w:val="0"/>
                <w:bCs w:val="0"/>
                <w:i w:val="0"/>
                <w:iCs w:val="0"/>
                <w:color w:val="000000"/>
                <w:kern w:val="0"/>
                <w:sz w:val="21"/>
                <w:szCs w:val="21"/>
                <w:u w:val="none"/>
                <w:lang w:val="en-US" w:eastAsia="zh-CN" w:bidi="ar"/>
              </w:rPr>
              <w:t xml:space="preserve">0.0703 </w:t>
            </w:r>
          </w:p>
        </w:tc>
      </w:tr>
    </w:tbl>
    <w:p>
      <w:pPr>
        <w:ind w:firstLine="560"/>
      </w:pPr>
    </w:p>
    <w:p>
      <w:pPr>
        <w:pStyle w:val="5"/>
      </w:pPr>
      <w:r>
        <w:rPr>
          <w:rFonts w:hint="eastAsia"/>
        </w:rPr>
        <w:t>（三）成片开发范围土地权属情况</w:t>
      </w:r>
    </w:p>
    <w:p>
      <w:pPr>
        <w:ind w:firstLine="560"/>
      </w:pPr>
      <w:r>
        <w:rPr>
          <w:rFonts w:hint="eastAsia"/>
        </w:rPr>
        <w:t>根据河源市东源县农村集体土地所有权登记发证成果数据，调整后，东源县202</w:t>
      </w:r>
      <w:r>
        <w:t>2</w:t>
      </w:r>
      <w:r>
        <w:rPr>
          <w:rFonts w:hint="eastAsia"/>
        </w:rPr>
        <w:t>年度土地征收成片开发范围涉及国有土地12.6247公顷，集体土地128.8516公顷。成片开发范围内土地权属清晰，权利人明确，符合相关规定要求。</w:t>
      </w:r>
    </w:p>
    <w:p>
      <w:pPr>
        <w:pStyle w:val="11"/>
        <w:spacing w:line="240" w:lineRule="auto"/>
      </w:pPr>
      <w:r>
        <w:rPr>
          <w:rFonts w:hint="eastAsia"/>
        </w:rPr>
        <w:t>表2-</w:t>
      </w:r>
      <w:r>
        <w:t>10 调整后</w:t>
      </w:r>
      <w:r>
        <w:rPr>
          <w:rFonts w:hint="eastAsia"/>
        </w:rPr>
        <w:t>成片开发范围涉及</w:t>
      </w:r>
      <w:r>
        <w:t>集体土地权属</w:t>
      </w:r>
      <w:r>
        <w:rPr>
          <w:rFonts w:hint="eastAsia"/>
        </w:rPr>
        <w:t>名单</w:t>
      </w:r>
    </w:p>
    <w:tbl>
      <w:tblPr>
        <w:tblStyle w:val="23"/>
        <w:tblW w:w="491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08" w:type="dxa"/>
          <w:bottom w:w="0" w:type="dxa"/>
          <w:right w:w="108" w:type="dxa"/>
        </w:tblCellMar>
      </w:tblPr>
      <w:tblGrid>
        <w:gridCol w:w="1413"/>
        <w:gridCol w:w="7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0" w:type="dxa"/>
            <w:right w:w="108" w:type="dxa"/>
          </w:tblCellMar>
        </w:tblPrEx>
        <w:trPr>
          <w:cantSplit/>
          <w:trHeight w:val="317" w:hRule="atLeast"/>
          <w:tblHeader/>
        </w:trPr>
        <w:tc>
          <w:tcPr>
            <w:tcW w:w="812" w:type="pct"/>
            <w:shd w:val="clear" w:color="auto" w:fill="auto"/>
            <w:vAlign w:val="center"/>
          </w:tcPr>
          <w:p>
            <w:pPr>
              <w:widowControl/>
              <w:spacing w:line="240" w:lineRule="auto"/>
              <w:ind w:firstLine="0" w:firstLineChars="0"/>
              <w:jc w:val="center"/>
              <w:rPr>
                <w:rFonts w:cs="Times New Roman"/>
                <w:b/>
                <w:bCs/>
                <w:color w:val="000000"/>
                <w:kern w:val="0"/>
                <w:sz w:val="21"/>
                <w:szCs w:val="21"/>
              </w:rPr>
            </w:pPr>
            <w:r>
              <w:rPr>
                <w:rFonts w:hint="eastAsia" w:cs="Times New Roman"/>
                <w:b/>
                <w:bCs/>
                <w:color w:val="000000"/>
                <w:kern w:val="0"/>
                <w:sz w:val="21"/>
                <w:szCs w:val="21"/>
              </w:rPr>
              <w:t>片区名称</w:t>
            </w:r>
          </w:p>
        </w:tc>
        <w:tc>
          <w:tcPr>
            <w:tcW w:w="4187" w:type="pct"/>
            <w:shd w:val="clear" w:color="auto" w:fill="auto"/>
            <w:vAlign w:val="center"/>
          </w:tcPr>
          <w:p>
            <w:pPr>
              <w:widowControl/>
              <w:spacing w:line="240" w:lineRule="auto"/>
              <w:ind w:firstLine="0" w:firstLineChars="0"/>
              <w:jc w:val="center"/>
              <w:rPr>
                <w:rFonts w:cs="Times New Roman"/>
                <w:b/>
                <w:bCs/>
                <w:color w:val="000000"/>
                <w:kern w:val="0"/>
                <w:sz w:val="21"/>
                <w:szCs w:val="21"/>
              </w:rPr>
            </w:pPr>
            <w:r>
              <w:rPr>
                <w:rFonts w:hint="eastAsia" w:cs="Times New Roman"/>
                <w:b/>
                <w:bCs/>
                <w:color w:val="000000"/>
                <w:kern w:val="0"/>
                <w:sz w:val="21"/>
                <w:szCs w:val="21"/>
              </w:rPr>
              <w:t>权利人名称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0" w:type="dxa"/>
            <w:right w:w="108" w:type="dxa"/>
          </w:tblCellMar>
        </w:tblPrEx>
        <w:trPr>
          <w:cantSplit/>
          <w:trHeight w:val="296" w:hRule="atLeast"/>
        </w:trPr>
        <w:tc>
          <w:tcPr>
            <w:tcW w:w="812" w:type="pct"/>
            <w:vMerge w:val="restart"/>
            <w:shd w:val="clear" w:color="auto" w:fill="auto"/>
            <w:vAlign w:val="center"/>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盐东产业转</w:t>
            </w:r>
          </w:p>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移园片区</w:t>
            </w:r>
          </w:p>
        </w:tc>
        <w:tc>
          <w:tcPr>
            <w:tcW w:w="4187" w:type="pct"/>
            <w:shd w:val="clear" w:color="auto" w:fill="auto"/>
            <w:vAlign w:val="bottom"/>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东源县仙塘镇红光村大新经济合作社农民集体所有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0" w:type="dxa"/>
            <w:right w:w="108" w:type="dxa"/>
          </w:tblCellMar>
        </w:tblPrEx>
        <w:trPr>
          <w:cantSplit/>
          <w:trHeight w:val="296" w:hRule="atLeast"/>
        </w:trPr>
        <w:tc>
          <w:tcPr>
            <w:tcW w:w="812" w:type="pct"/>
            <w:vMerge w:val="continue"/>
            <w:shd w:val="clear" w:color="auto" w:fill="auto"/>
            <w:vAlign w:val="center"/>
          </w:tcPr>
          <w:p>
            <w:pPr>
              <w:widowControl/>
              <w:spacing w:line="240" w:lineRule="auto"/>
              <w:ind w:firstLine="0" w:firstLineChars="0"/>
              <w:jc w:val="center"/>
              <w:rPr>
                <w:rFonts w:cs="Times New Roman"/>
                <w:color w:val="000000"/>
                <w:kern w:val="0"/>
                <w:sz w:val="21"/>
                <w:szCs w:val="21"/>
              </w:rPr>
            </w:pPr>
          </w:p>
        </w:tc>
        <w:tc>
          <w:tcPr>
            <w:tcW w:w="4187" w:type="pct"/>
            <w:shd w:val="clear" w:color="auto" w:fill="auto"/>
            <w:vAlign w:val="bottom"/>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东源县仙塘镇红光村老楼经济合作社农民集体所有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0" w:type="dxa"/>
            <w:right w:w="108" w:type="dxa"/>
          </w:tblCellMar>
        </w:tblPrEx>
        <w:trPr>
          <w:cantSplit/>
          <w:trHeight w:val="296" w:hRule="atLeast"/>
        </w:trPr>
        <w:tc>
          <w:tcPr>
            <w:tcW w:w="812" w:type="pct"/>
            <w:vMerge w:val="continue"/>
            <w:shd w:val="clear" w:color="auto" w:fill="auto"/>
            <w:vAlign w:val="center"/>
          </w:tcPr>
          <w:p>
            <w:pPr>
              <w:widowControl/>
              <w:spacing w:line="240" w:lineRule="auto"/>
              <w:ind w:firstLine="0" w:firstLineChars="0"/>
              <w:jc w:val="center"/>
              <w:rPr>
                <w:rFonts w:cs="Times New Roman"/>
                <w:color w:val="000000"/>
                <w:kern w:val="0"/>
                <w:sz w:val="21"/>
                <w:szCs w:val="21"/>
              </w:rPr>
            </w:pPr>
          </w:p>
        </w:tc>
        <w:tc>
          <w:tcPr>
            <w:tcW w:w="4187" w:type="pct"/>
            <w:shd w:val="clear" w:color="auto" w:fill="auto"/>
            <w:vAlign w:val="bottom"/>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东源县仙塘镇红光村土地坛经济合作社农民集体所有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0" w:type="dxa"/>
            <w:right w:w="108" w:type="dxa"/>
          </w:tblCellMar>
        </w:tblPrEx>
        <w:trPr>
          <w:cantSplit/>
          <w:trHeight w:val="296" w:hRule="atLeast"/>
        </w:trPr>
        <w:tc>
          <w:tcPr>
            <w:tcW w:w="812" w:type="pct"/>
            <w:vMerge w:val="continue"/>
            <w:shd w:val="clear" w:color="auto" w:fill="auto"/>
            <w:vAlign w:val="center"/>
          </w:tcPr>
          <w:p>
            <w:pPr>
              <w:widowControl/>
              <w:spacing w:line="240" w:lineRule="auto"/>
              <w:ind w:firstLine="0" w:firstLineChars="0"/>
              <w:jc w:val="center"/>
              <w:rPr>
                <w:rFonts w:cs="Times New Roman"/>
                <w:color w:val="000000"/>
                <w:kern w:val="0"/>
                <w:sz w:val="21"/>
                <w:szCs w:val="21"/>
              </w:rPr>
            </w:pPr>
          </w:p>
        </w:tc>
        <w:tc>
          <w:tcPr>
            <w:tcW w:w="4187" w:type="pct"/>
            <w:shd w:val="clear" w:color="auto" w:fill="auto"/>
            <w:vAlign w:val="bottom"/>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东源县仙塘镇红光村下地塘经济合作社农民集体所有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0" w:type="dxa"/>
            <w:right w:w="108" w:type="dxa"/>
          </w:tblCellMar>
        </w:tblPrEx>
        <w:trPr>
          <w:cantSplit/>
          <w:trHeight w:val="296" w:hRule="atLeast"/>
        </w:trPr>
        <w:tc>
          <w:tcPr>
            <w:tcW w:w="812" w:type="pct"/>
            <w:vMerge w:val="continue"/>
            <w:shd w:val="clear" w:color="auto" w:fill="auto"/>
            <w:vAlign w:val="center"/>
          </w:tcPr>
          <w:p>
            <w:pPr>
              <w:widowControl/>
              <w:spacing w:line="240" w:lineRule="auto"/>
              <w:ind w:firstLine="0" w:firstLineChars="0"/>
              <w:jc w:val="center"/>
              <w:rPr>
                <w:rFonts w:cs="Times New Roman"/>
                <w:color w:val="000000"/>
                <w:kern w:val="0"/>
                <w:sz w:val="21"/>
                <w:szCs w:val="21"/>
              </w:rPr>
            </w:pPr>
          </w:p>
        </w:tc>
        <w:tc>
          <w:tcPr>
            <w:tcW w:w="4187" w:type="pct"/>
            <w:shd w:val="clear" w:color="auto" w:fill="auto"/>
            <w:vAlign w:val="bottom"/>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东源县仙塘镇红光村衙门经济合作社农民集体所有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0" w:type="dxa"/>
            <w:right w:w="108" w:type="dxa"/>
          </w:tblCellMar>
        </w:tblPrEx>
        <w:trPr>
          <w:cantSplit/>
          <w:trHeight w:val="296" w:hRule="atLeast"/>
        </w:trPr>
        <w:tc>
          <w:tcPr>
            <w:tcW w:w="812" w:type="pct"/>
            <w:vMerge w:val="continue"/>
            <w:shd w:val="clear" w:color="auto" w:fill="auto"/>
            <w:vAlign w:val="center"/>
          </w:tcPr>
          <w:p>
            <w:pPr>
              <w:widowControl/>
              <w:spacing w:line="240" w:lineRule="auto"/>
              <w:ind w:firstLine="0" w:firstLineChars="0"/>
              <w:jc w:val="center"/>
              <w:rPr>
                <w:rFonts w:cs="Times New Roman"/>
                <w:color w:val="000000"/>
                <w:kern w:val="0"/>
                <w:sz w:val="21"/>
                <w:szCs w:val="21"/>
              </w:rPr>
            </w:pPr>
          </w:p>
        </w:tc>
        <w:tc>
          <w:tcPr>
            <w:tcW w:w="4187" w:type="pct"/>
            <w:shd w:val="clear" w:color="auto" w:fill="auto"/>
            <w:vAlign w:val="bottom"/>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东源县仙塘镇热水村金咀经济合作社农民集体所有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0" w:type="dxa"/>
            <w:right w:w="108" w:type="dxa"/>
          </w:tblCellMar>
        </w:tblPrEx>
        <w:trPr>
          <w:cantSplit/>
          <w:trHeight w:val="296" w:hRule="atLeast"/>
        </w:trPr>
        <w:tc>
          <w:tcPr>
            <w:tcW w:w="812" w:type="pct"/>
            <w:vMerge w:val="continue"/>
            <w:shd w:val="clear" w:color="auto" w:fill="auto"/>
            <w:vAlign w:val="center"/>
          </w:tcPr>
          <w:p>
            <w:pPr>
              <w:widowControl/>
              <w:spacing w:line="240" w:lineRule="auto"/>
              <w:ind w:firstLine="0" w:firstLineChars="0"/>
              <w:jc w:val="center"/>
              <w:rPr>
                <w:rFonts w:cs="Times New Roman"/>
                <w:color w:val="000000"/>
                <w:kern w:val="0"/>
                <w:sz w:val="21"/>
                <w:szCs w:val="21"/>
              </w:rPr>
            </w:pPr>
          </w:p>
        </w:tc>
        <w:tc>
          <w:tcPr>
            <w:tcW w:w="4187" w:type="pct"/>
            <w:shd w:val="clear" w:color="auto" w:fill="auto"/>
            <w:vAlign w:val="bottom"/>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东源县仙塘镇仙塘村格塘经济合作社农民集体所有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0" w:type="dxa"/>
            <w:right w:w="108" w:type="dxa"/>
          </w:tblCellMar>
        </w:tblPrEx>
        <w:trPr>
          <w:cantSplit/>
          <w:trHeight w:val="296" w:hRule="atLeast"/>
        </w:trPr>
        <w:tc>
          <w:tcPr>
            <w:tcW w:w="812" w:type="pct"/>
            <w:vMerge w:val="continue"/>
            <w:shd w:val="clear" w:color="auto" w:fill="auto"/>
            <w:vAlign w:val="center"/>
          </w:tcPr>
          <w:p>
            <w:pPr>
              <w:widowControl/>
              <w:spacing w:line="240" w:lineRule="auto"/>
              <w:ind w:firstLine="0" w:firstLineChars="0"/>
              <w:jc w:val="center"/>
              <w:rPr>
                <w:rFonts w:cs="Times New Roman"/>
                <w:color w:val="000000"/>
                <w:kern w:val="0"/>
                <w:sz w:val="21"/>
                <w:szCs w:val="21"/>
              </w:rPr>
            </w:pPr>
          </w:p>
        </w:tc>
        <w:tc>
          <w:tcPr>
            <w:tcW w:w="4187" w:type="pct"/>
            <w:shd w:val="clear" w:color="auto" w:fill="auto"/>
            <w:vAlign w:val="bottom"/>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东源县仙塘镇仙塘村公份经济合作社农民集体所有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0" w:type="dxa"/>
            <w:right w:w="108" w:type="dxa"/>
          </w:tblCellMar>
        </w:tblPrEx>
        <w:trPr>
          <w:cantSplit/>
          <w:trHeight w:val="296" w:hRule="atLeast"/>
        </w:trPr>
        <w:tc>
          <w:tcPr>
            <w:tcW w:w="812" w:type="pct"/>
            <w:vMerge w:val="continue"/>
            <w:shd w:val="clear" w:color="auto" w:fill="auto"/>
            <w:vAlign w:val="center"/>
          </w:tcPr>
          <w:p>
            <w:pPr>
              <w:widowControl/>
              <w:spacing w:line="240" w:lineRule="auto"/>
              <w:ind w:firstLine="0" w:firstLineChars="0"/>
              <w:jc w:val="center"/>
              <w:rPr>
                <w:rFonts w:cs="Times New Roman"/>
                <w:color w:val="000000"/>
                <w:kern w:val="0"/>
                <w:sz w:val="21"/>
                <w:szCs w:val="21"/>
              </w:rPr>
            </w:pPr>
          </w:p>
        </w:tc>
        <w:tc>
          <w:tcPr>
            <w:tcW w:w="4187" w:type="pct"/>
            <w:shd w:val="clear" w:color="auto" w:fill="auto"/>
            <w:vAlign w:val="bottom"/>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东源县仙塘镇仙塘村九赤经济合作社农民集体所有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0" w:type="dxa"/>
            <w:right w:w="108" w:type="dxa"/>
          </w:tblCellMar>
        </w:tblPrEx>
        <w:trPr>
          <w:cantSplit/>
          <w:trHeight w:val="296" w:hRule="atLeast"/>
        </w:trPr>
        <w:tc>
          <w:tcPr>
            <w:tcW w:w="812" w:type="pct"/>
            <w:vMerge w:val="continue"/>
            <w:shd w:val="clear" w:color="auto" w:fill="auto"/>
            <w:vAlign w:val="center"/>
          </w:tcPr>
          <w:p>
            <w:pPr>
              <w:widowControl/>
              <w:spacing w:line="240" w:lineRule="auto"/>
              <w:ind w:firstLine="0" w:firstLineChars="0"/>
              <w:jc w:val="center"/>
              <w:rPr>
                <w:rFonts w:cs="Times New Roman"/>
                <w:color w:val="000000"/>
                <w:kern w:val="0"/>
                <w:sz w:val="21"/>
                <w:szCs w:val="21"/>
              </w:rPr>
            </w:pPr>
          </w:p>
        </w:tc>
        <w:tc>
          <w:tcPr>
            <w:tcW w:w="4187" w:type="pct"/>
            <w:shd w:val="clear" w:color="auto" w:fill="auto"/>
            <w:vAlign w:val="bottom"/>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东源县仙塘镇仙塘村上塘经济合作社等5个农民集体共有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0" w:type="dxa"/>
            <w:right w:w="108" w:type="dxa"/>
          </w:tblCellMar>
        </w:tblPrEx>
        <w:trPr>
          <w:cantSplit/>
          <w:trHeight w:val="296" w:hRule="atLeast"/>
        </w:trPr>
        <w:tc>
          <w:tcPr>
            <w:tcW w:w="812" w:type="pct"/>
            <w:vMerge w:val="continue"/>
            <w:shd w:val="clear" w:color="auto" w:fill="auto"/>
            <w:vAlign w:val="center"/>
          </w:tcPr>
          <w:p>
            <w:pPr>
              <w:widowControl/>
              <w:spacing w:line="240" w:lineRule="auto"/>
              <w:ind w:firstLine="0" w:firstLineChars="0"/>
              <w:jc w:val="center"/>
              <w:rPr>
                <w:rFonts w:cs="Times New Roman"/>
                <w:color w:val="000000"/>
                <w:kern w:val="0"/>
                <w:sz w:val="21"/>
                <w:szCs w:val="21"/>
              </w:rPr>
            </w:pPr>
          </w:p>
        </w:tc>
        <w:tc>
          <w:tcPr>
            <w:tcW w:w="4187" w:type="pct"/>
            <w:shd w:val="clear" w:color="auto" w:fill="auto"/>
            <w:vAlign w:val="bottom"/>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东源县仙塘镇仙塘村上塘经济合作社农民集体所有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0" w:type="dxa"/>
            <w:right w:w="108" w:type="dxa"/>
          </w:tblCellMar>
        </w:tblPrEx>
        <w:trPr>
          <w:cantSplit/>
          <w:trHeight w:val="296" w:hRule="atLeast"/>
        </w:trPr>
        <w:tc>
          <w:tcPr>
            <w:tcW w:w="812" w:type="pct"/>
            <w:vMerge w:val="continue"/>
            <w:shd w:val="clear" w:color="auto" w:fill="auto"/>
            <w:vAlign w:val="center"/>
          </w:tcPr>
          <w:p>
            <w:pPr>
              <w:widowControl/>
              <w:spacing w:line="240" w:lineRule="auto"/>
              <w:ind w:firstLine="0" w:firstLineChars="0"/>
              <w:jc w:val="center"/>
              <w:rPr>
                <w:rFonts w:cs="Times New Roman"/>
                <w:color w:val="000000"/>
                <w:kern w:val="0"/>
                <w:sz w:val="21"/>
                <w:szCs w:val="21"/>
              </w:rPr>
            </w:pPr>
          </w:p>
        </w:tc>
        <w:tc>
          <w:tcPr>
            <w:tcW w:w="4187" w:type="pct"/>
            <w:shd w:val="clear" w:color="auto" w:fill="auto"/>
            <w:vAlign w:val="bottom"/>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东源县仙塘镇仙塘村塘仔经济合作社农民集体所有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0" w:type="dxa"/>
            <w:right w:w="108" w:type="dxa"/>
          </w:tblCellMar>
        </w:tblPrEx>
        <w:trPr>
          <w:cantSplit/>
          <w:trHeight w:val="296" w:hRule="atLeast"/>
        </w:trPr>
        <w:tc>
          <w:tcPr>
            <w:tcW w:w="812" w:type="pct"/>
            <w:vMerge w:val="continue"/>
            <w:shd w:val="clear" w:color="auto" w:fill="auto"/>
            <w:vAlign w:val="center"/>
          </w:tcPr>
          <w:p>
            <w:pPr>
              <w:widowControl/>
              <w:spacing w:line="240" w:lineRule="auto"/>
              <w:ind w:firstLine="0" w:firstLineChars="0"/>
              <w:jc w:val="center"/>
              <w:rPr>
                <w:rFonts w:cs="Times New Roman"/>
                <w:color w:val="000000"/>
                <w:kern w:val="0"/>
                <w:sz w:val="21"/>
                <w:szCs w:val="21"/>
              </w:rPr>
            </w:pPr>
          </w:p>
        </w:tc>
        <w:tc>
          <w:tcPr>
            <w:tcW w:w="4187" w:type="pct"/>
            <w:shd w:val="clear" w:color="auto" w:fill="auto"/>
            <w:vAlign w:val="bottom"/>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东源县仙塘镇仙塘村银光经济合作社农民集体所有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0" w:type="dxa"/>
            <w:right w:w="108" w:type="dxa"/>
          </w:tblCellMar>
        </w:tblPrEx>
        <w:trPr>
          <w:cantSplit/>
          <w:trHeight w:val="296" w:hRule="atLeast"/>
        </w:trPr>
        <w:tc>
          <w:tcPr>
            <w:tcW w:w="812" w:type="pct"/>
            <w:vMerge w:val="continue"/>
            <w:shd w:val="clear" w:color="auto" w:fill="auto"/>
            <w:vAlign w:val="center"/>
          </w:tcPr>
          <w:p>
            <w:pPr>
              <w:widowControl/>
              <w:spacing w:line="240" w:lineRule="auto"/>
              <w:ind w:firstLine="0" w:firstLineChars="0"/>
              <w:jc w:val="center"/>
              <w:rPr>
                <w:rFonts w:cs="Times New Roman"/>
                <w:color w:val="000000"/>
                <w:kern w:val="0"/>
                <w:sz w:val="21"/>
                <w:szCs w:val="21"/>
              </w:rPr>
            </w:pPr>
          </w:p>
        </w:tc>
        <w:tc>
          <w:tcPr>
            <w:tcW w:w="4187" w:type="pct"/>
            <w:shd w:val="clear" w:color="auto" w:fill="auto"/>
            <w:vAlign w:val="bottom"/>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东源县仙塘镇徐洞村防修经济合作社等4个农民集体共有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0" w:type="dxa"/>
            <w:right w:w="108" w:type="dxa"/>
          </w:tblCellMar>
        </w:tblPrEx>
        <w:trPr>
          <w:cantSplit/>
          <w:trHeight w:val="296" w:hRule="atLeast"/>
        </w:trPr>
        <w:tc>
          <w:tcPr>
            <w:tcW w:w="812" w:type="pct"/>
            <w:vMerge w:val="continue"/>
            <w:shd w:val="clear" w:color="auto" w:fill="auto"/>
            <w:vAlign w:val="center"/>
          </w:tcPr>
          <w:p>
            <w:pPr>
              <w:widowControl/>
              <w:spacing w:line="240" w:lineRule="auto"/>
              <w:ind w:firstLine="0" w:firstLineChars="0"/>
              <w:jc w:val="center"/>
              <w:rPr>
                <w:rFonts w:cs="Times New Roman"/>
                <w:color w:val="000000"/>
                <w:kern w:val="0"/>
                <w:sz w:val="21"/>
                <w:szCs w:val="21"/>
              </w:rPr>
            </w:pPr>
          </w:p>
        </w:tc>
        <w:tc>
          <w:tcPr>
            <w:tcW w:w="4187" w:type="pct"/>
            <w:shd w:val="clear" w:color="auto" w:fill="auto"/>
            <w:vAlign w:val="bottom"/>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东源县仙塘镇徐洞村民主经济合作社农民集体所有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0" w:type="dxa"/>
            <w:right w:w="108" w:type="dxa"/>
          </w:tblCellMar>
        </w:tblPrEx>
        <w:trPr>
          <w:cantSplit/>
          <w:trHeight w:val="296" w:hRule="atLeast"/>
        </w:trPr>
        <w:tc>
          <w:tcPr>
            <w:tcW w:w="812" w:type="pct"/>
            <w:vMerge w:val="continue"/>
            <w:shd w:val="clear" w:color="auto" w:fill="auto"/>
            <w:vAlign w:val="center"/>
          </w:tcPr>
          <w:p>
            <w:pPr>
              <w:widowControl/>
              <w:spacing w:line="240" w:lineRule="auto"/>
              <w:ind w:firstLine="0" w:firstLineChars="0"/>
              <w:jc w:val="center"/>
              <w:rPr>
                <w:rFonts w:cs="Times New Roman"/>
                <w:color w:val="000000"/>
                <w:kern w:val="0"/>
                <w:sz w:val="21"/>
                <w:szCs w:val="21"/>
              </w:rPr>
            </w:pPr>
          </w:p>
        </w:tc>
        <w:tc>
          <w:tcPr>
            <w:tcW w:w="4187" w:type="pct"/>
            <w:shd w:val="clear" w:color="auto" w:fill="auto"/>
            <w:vAlign w:val="bottom"/>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东源县仙塘镇徐洞村前进经济合作社农民集体所有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0" w:type="dxa"/>
            <w:right w:w="108" w:type="dxa"/>
          </w:tblCellMar>
        </w:tblPrEx>
        <w:trPr>
          <w:cantSplit/>
          <w:trHeight w:val="296" w:hRule="atLeast"/>
        </w:trPr>
        <w:tc>
          <w:tcPr>
            <w:tcW w:w="812" w:type="pct"/>
            <w:vMerge w:val="continue"/>
            <w:shd w:val="clear" w:color="auto" w:fill="auto"/>
            <w:vAlign w:val="center"/>
          </w:tcPr>
          <w:p>
            <w:pPr>
              <w:widowControl/>
              <w:spacing w:line="240" w:lineRule="auto"/>
              <w:ind w:firstLine="0" w:firstLineChars="0"/>
              <w:jc w:val="center"/>
              <w:rPr>
                <w:rFonts w:cs="Times New Roman"/>
                <w:color w:val="000000"/>
                <w:kern w:val="0"/>
                <w:sz w:val="21"/>
                <w:szCs w:val="21"/>
              </w:rPr>
            </w:pPr>
          </w:p>
        </w:tc>
        <w:tc>
          <w:tcPr>
            <w:tcW w:w="4187" w:type="pct"/>
            <w:shd w:val="clear" w:color="auto" w:fill="auto"/>
            <w:vAlign w:val="bottom"/>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东源县仙塘镇徐洞村胜利经济合作社农民集体所有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0" w:type="dxa"/>
            <w:right w:w="108" w:type="dxa"/>
          </w:tblCellMar>
        </w:tblPrEx>
        <w:trPr>
          <w:cantSplit/>
          <w:trHeight w:val="296" w:hRule="atLeast"/>
        </w:trPr>
        <w:tc>
          <w:tcPr>
            <w:tcW w:w="812" w:type="pct"/>
            <w:vMerge w:val="continue"/>
            <w:shd w:val="clear" w:color="auto" w:fill="auto"/>
            <w:vAlign w:val="center"/>
          </w:tcPr>
          <w:p>
            <w:pPr>
              <w:widowControl/>
              <w:spacing w:line="240" w:lineRule="auto"/>
              <w:ind w:firstLine="0" w:firstLineChars="0"/>
              <w:jc w:val="center"/>
              <w:rPr>
                <w:rFonts w:cs="Times New Roman"/>
                <w:color w:val="000000"/>
                <w:kern w:val="0"/>
                <w:sz w:val="21"/>
                <w:szCs w:val="21"/>
              </w:rPr>
            </w:pPr>
          </w:p>
        </w:tc>
        <w:tc>
          <w:tcPr>
            <w:tcW w:w="4187" w:type="pct"/>
            <w:shd w:val="clear" w:color="auto" w:fill="auto"/>
            <w:vAlign w:val="bottom"/>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东源县仙塘镇徐洞经济联合社农民集体所有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0" w:type="dxa"/>
            <w:right w:w="108" w:type="dxa"/>
          </w:tblCellMar>
        </w:tblPrEx>
        <w:trPr>
          <w:cantSplit/>
          <w:trHeight w:val="567" w:hRule="atLeast"/>
        </w:trPr>
        <w:tc>
          <w:tcPr>
            <w:tcW w:w="812" w:type="pct"/>
            <w:vMerge w:val="continue"/>
            <w:shd w:val="clear" w:color="auto" w:fill="auto"/>
            <w:vAlign w:val="center"/>
          </w:tcPr>
          <w:p>
            <w:pPr>
              <w:widowControl/>
              <w:spacing w:line="240" w:lineRule="auto"/>
              <w:ind w:firstLine="0" w:firstLineChars="0"/>
              <w:jc w:val="center"/>
              <w:rPr>
                <w:rFonts w:cs="Times New Roman"/>
                <w:color w:val="000000"/>
                <w:kern w:val="0"/>
                <w:sz w:val="21"/>
                <w:szCs w:val="21"/>
              </w:rPr>
            </w:pPr>
          </w:p>
        </w:tc>
        <w:tc>
          <w:tcPr>
            <w:tcW w:w="4187" w:type="pct"/>
            <w:shd w:val="clear" w:color="auto" w:fill="auto"/>
            <w:vAlign w:val="bottom"/>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河源市东源县仙塘镇热水村楼上经济合作社/河源市东源县仙塘镇热水村金咀经济合作社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0" w:type="dxa"/>
            <w:right w:w="108" w:type="dxa"/>
          </w:tblCellMar>
        </w:tblPrEx>
        <w:trPr>
          <w:cantSplit/>
          <w:trHeight w:val="296" w:hRule="atLeast"/>
        </w:trPr>
        <w:tc>
          <w:tcPr>
            <w:tcW w:w="812" w:type="pct"/>
            <w:vMerge w:val="restart"/>
            <w:shd w:val="clear" w:color="auto" w:fill="auto"/>
            <w:vAlign w:val="center"/>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灯塔片区</w:t>
            </w:r>
          </w:p>
        </w:tc>
        <w:tc>
          <w:tcPr>
            <w:tcW w:w="4187"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东源县灯塔镇黄土岭村神前红光经济合作社等4个农民集体共有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0" w:type="dxa"/>
            <w:right w:w="108" w:type="dxa"/>
          </w:tblCellMar>
        </w:tblPrEx>
        <w:trPr>
          <w:cantSplit/>
          <w:trHeight w:val="567" w:hRule="atLeast"/>
        </w:trPr>
        <w:tc>
          <w:tcPr>
            <w:tcW w:w="812" w:type="pct"/>
            <w:vMerge w:val="continue"/>
            <w:shd w:val="clear" w:color="auto" w:fill="auto"/>
            <w:vAlign w:val="center"/>
          </w:tcPr>
          <w:p>
            <w:pPr>
              <w:widowControl/>
              <w:spacing w:line="240" w:lineRule="auto"/>
              <w:ind w:firstLine="0" w:firstLineChars="0"/>
              <w:jc w:val="center"/>
              <w:rPr>
                <w:rFonts w:cs="Times New Roman"/>
                <w:color w:val="000000"/>
                <w:kern w:val="0"/>
                <w:sz w:val="21"/>
                <w:szCs w:val="21"/>
              </w:rPr>
            </w:pPr>
          </w:p>
        </w:tc>
        <w:tc>
          <w:tcPr>
            <w:tcW w:w="4187" w:type="pct"/>
            <w:shd w:val="clear" w:color="auto" w:fill="auto"/>
            <w:vAlign w:val="bottom"/>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河源市东源县灯塔镇灯塔村农场第三经济合作社/河源市东源县灯塔镇灯塔村月光经济合作社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0" w:type="dxa"/>
            <w:right w:w="108" w:type="dxa"/>
          </w:tblCellMar>
        </w:tblPrEx>
        <w:trPr>
          <w:cantSplit/>
          <w:trHeight w:val="567" w:hRule="atLeast"/>
        </w:trPr>
        <w:tc>
          <w:tcPr>
            <w:tcW w:w="812" w:type="pct"/>
            <w:vMerge w:val="continue"/>
            <w:shd w:val="clear" w:color="auto" w:fill="auto"/>
            <w:vAlign w:val="center"/>
          </w:tcPr>
          <w:p>
            <w:pPr>
              <w:widowControl/>
              <w:spacing w:line="240" w:lineRule="auto"/>
              <w:ind w:firstLine="0" w:firstLineChars="0"/>
              <w:jc w:val="center"/>
              <w:rPr>
                <w:rFonts w:cs="Times New Roman"/>
                <w:color w:val="000000"/>
                <w:kern w:val="0"/>
                <w:sz w:val="21"/>
                <w:szCs w:val="21"/>
              </w:rPr>
            </w:pPr>
          </w:p>
        </w:tc>
        <w:tc>
          <w:tcPr>
            <w:tcW w:w="4187" w:type="pct"/>
            <w:shd w:val="clear" w:color="auto" w:fill="auto"/>
            <w:vAlign w:val="bottom"/>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河源市东源县灯塔镇黄土岭村东方红经济合作社/河源市东源县灯塔镇黄土岭村斗门经济合作社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0" w:type="dxa"/>
            <w:right w:w="108" w:type="dxa"/>
          </w:tblCellMar>
        </w:tblPrEx>
        <w:trPr>
          <w:cantSplit/>
          <w:trHeight w:val="296" w:hRule="atLeast"/>
        </w:trPr>
        <w:tc>
          <w:tcPr>
            <w:tcW w:w="812" w:type="pct"/>
            <w:vMerge w:val="restart"/>
            <w:shd w:val="clear" w:color="auto" w:fill="auto"/>
            <w:vAlign w:val="center"/>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骆湖片区</w:t>
            </w:r>
          </w:p>
        </w:tc>
        <w:tc>
          <w:tcPr>
            <w:tcW w:w="4187" w:type="pct"/>
            <w:shd w:val="clear" w:color="auto" w:fill="auto"/>
            <w:vAlign w:val="bottom"/>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东源县骆湖镇经济联合总社农民集体所有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0" w:type="dxa"/>
            <w:right w:w="108" w:type="dxa"/>
          </w:tblCellMar>
        </w:tblPrEx>
        <w:trPr>
          <w:cantSplit/>
          <w:trHeight w:val="332" w:hRule="atLeast"/>
        </w:trPr>
        <w:tc>
          <w:tcPr>
            <w:tcW w:w="812" w:type="pct"/>
            <w:vMerge w:val="continue"/>
            <w:shd w:val="clear" w:color="auto" w:fill="auto"/>
            <w:vAlign w:val="center"/>
          </w:tcPr>
          <w:p>
            <w:pPr>
              <w:widowControl/>
              <w:spacing w:line="240" w:lineRule="auto"/>
              <w:ind w:firstLine="0" w:firstLineChars="0"/>
              <w:jc w:val="center"/>
              <w:rPr>
                <w:rFonts w:cs="Times New Roman"/>
                <w:color w:val="000000"/>
                <w:kern w:val="0"/>
                <w:sz w:val="21"/>
                <w:szCs w:val="21"/>
              </w:rPr>
            </w:pPr>
          </w:p>
        </w:tc>
        <w:tc>
          <w:tcPr>
            <w:tcW w:w="4187" w:type="pct"/>
            <w:shd w:val="clear" w:color="auto" w:fill="auto"/>
            <w:vAlign w:val="bottom"/>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东源县骆湖镇骆湖村车头新屋经济合作社等5个经济合作社农民集体共有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0" w:type="dxa"/>
            <w:right w:w="108" w:type="dxa"/>
          </w:tblCellMar>
        </w:tblPrEx>
        <w:trPr>
          <w:cantSplit/>
          <w:trHeight w:val="296" w:hRule="atLeast"/>
        </w:trPr>
        <w:tc>
          <w:tcPr>
            <w:tcW w:w="812" w:type="pct"/>
            <w:vMerge w:val="continue"/>
            <w:shd w:val="clear" w:color="auto" w:fill="auto"/>
            <w:vAlign w:val="center"/>
          </w:tcPr>
          <w:p>
            <w:pPr>
              <w:widowControl/>
              <w:spacing w:line="240" w:lineRule="auto"/>
              <w:ind w:firstLine="0" w:firstLineChars="0"/>
              <w:jc w:val="center"/>
              <w:rPr>
                <w:rFonts w:cs="Times New Roman"/>
                <w:color w:val="000000"/>
                <w:kern w:val="0"/>
                <w:sz w:val="21"/>
                <w:szCs w:val="21"/>
              </w:rPr>
            </w:pPr>
          </w:p>
        </w:tc>
        <w:tc>
          <w:tcPr>
            <w:tcW w:w="4187" w:type="pct"/>
            <w:shd w:val="clear" w:color="auto" w:fill="auto"/>
            <w:vAlign w:val="bottom"/>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东源县骆湖镇骆湖村东升经济合作社等2个农民集体共有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0" w:type="dxa"/>
            <w:right w:w="108" w:type="dxa"/>
          </w:tblCellMar>
        </w:tblPrEx>
        <w:trPr>
          <w:cantSplit/>
          <w:trHeight w:val="296" w:hRule="atLeast"/>
        </w:trPr>
        <w:tc>
          <w:tcPr>
            <w:tcW w:w="812" w:type="pct"/>
            <w:vMerge w:val="continue"/>
            <w:shd w:val="clear" w:color="auto" w:fill="auto"/>
            <w:vAlign w:val="center"/>
          </w:tcPr>
          <w:p>
            <w:pPr>
              <w:widowControl/>
              <w:spacing w:line="240" w:lineRule="auto"/>
              <w:ind w:firstLine="0" w:firstLineChars="0"/>
              <w:jc w:val="center"/>
              <w:rPr>
                <w:rFonts w:cs="Times New Roman"/>
                <w:color w:val="000000"/>
                <w:kern w:val="0"/>
                <w:sz w:val="21"/>
                <w:szCs w:val="21"/>
              </w:rPr>
            </w:pPr>
          </w:p>
        </w:tc>
        <w:tc>
          <w:tcPr>
            <w:tcW w:w="4187" w:type="pct"/>
            <w:shd w:val="clear" w:color="auto" w:fill="auto"/>
            <w:vAlign w:val="bottom"/>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东源县骆湖镇骆湖村牛龙角经济合作社等4个农民集体共有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0" w:type="dxa"/>
            <w:right w:w="108" w:type="dxa"/>
          </w:tblCellMar>
        </w:tblPrEx>
        <w:trPr>
          <w:cantSplit/>
          <w:trHeight w:val="242" w:hRule="atLeast"/>
        </w:trPr>
        <w:tc>
          <w:tcPr>
            <w:tcW w:w="812" w:type="pct"/>
            <w:vMerge w:val="continue"/>
            <w:shd w:val="clear" w:color="auto" w:fill="auto"/>
            <w:vAlign w:val="center"/>
          </w:tcPr>
          <w:p>
            <w:pPr>
              <w:widowControl/>
              <w:spacing w:line="240" w:lineRule="auto"/>
              <w:ind w:firstLine="0" w:firstLineChars="0"/>
              <w:jc w:val="center"/>
              <w:rPr>
                <w:rFonts w:cs="Times New Roman"/>
                <w:color w:val="000000"/>
                <w:kern w:val="0"/>
                <w:sz w:val="21"/>
                <w:szCs w:val="21"/>
              </w:rPr>
            </w:pPr>
          </w:p>
        </w:tc>
        <w:tc>
          <w:tcPr>
            <w:tcW w:w="4187" w:type="pct"/>
            <w:shd w:val="clear" w:color="auto" w:fill="auto"/>
            <w:vAlign w:val="bottom"/>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东源县骆湖镇杨坑村塘背经济合作社/东源县骆湖镇杨坑村新寨经济合作社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0" w:type="dxa"/>
            <w:right w:w="108" w:type="dxa"/>
          </w:tblCellMar>
        </w:tblPrEx>
        <w:trPr>
          <w:cantSplit/>
          <w:trHeight w:val="296" w:hRule="atLeast"/>
        </w:trPr>
        <w:tc>
          <w:tcPr>
            <w:tcW w:w="812" w:type="pct"/>
            <w:vMerge w:val="continue"/>
            <w:shd w:val="clear" w:color="auto" w:fill="auto"/>
            <w:vAlign w:val="center"/>
          </w:tcPr>
          <w:p>
            <w:pPr>
              <w:widowControl/>
              <w:spacing w:line="240" w:lineRule="auto"/>
              <w:ind w:firstLine="0" w:firstLineChars="0"/>
              <w:jc w:val="center"/>
              <w:rPr>
                <w:rFonts w:cs="Times New Roman"/>
                <w:color w:val="000000"/>
                <w:kern w:val="0"/>
                <w:sz w:val="21"/>
                <w:szCs w:val="21"/>
              </w:rPr>
            </w:pPr>
          </w:p>
        </w:tc>
        <w:tc>
          <w:tcPr>
            <w:tcW w:w="4187" w:type="pct"/>
            <w:shd w:val="clear" w:color="auto" w:fill="auto"/>
            <w:vAlign w:val="bottom"/>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东源县骆湖镇杨坑村尾排经济合作社等8个农民集体共有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0" w:type="dxa"/>
            <w:right w:w="108" w:type="dxa"/>
          </w:tblCellMar>
        </w:tblPrEx>
        <w:trPr>
          <w:cantSplit/>
          <w:trHeight w:val="296" w:hRule="atLeast"/>
        </w:trPr>
        <w:tc>
          <w:tcPr>
            <w:tcW w:w="812" w:type="pct"/>
            <w:vMerge w:val="continue"/>
            <w:shd w:val="clear" w:color="auto" w:fill="auto"/>
            <w:vAlign w:val="center"/>
          </w:tcPr>
          <w:p>
            <w:pPr>
              <w:widowControl/>
              <w:spacing w:line="240" w:lineRule="auto"/>
              <w:ind w:firstLine="0" w:firstLineChars="0"/>
              <w:jc w:val="center"/>
              <w:rPr>
                <w:rFonts w:cs="Times New Roman"/>
                <w:color w:val="000000"/>
                <w:kern w:val="0"/>
                <w:sz w:val="21"/>
                <w:szCs w:val="21"/>
              </w:rPr>
            </w:pPr>
          </w:p>
        </w:tc>
        <w:tc>
          <w:tcPr>
            <w:tcW w:w="4187" w:type="pct"/>
            <w:shd w:val="clear" w:color="auto" w:fill="auto"/>
            <w:vAlign w:val="bottom"/>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东源县骆湖镇杨坑村新华经济合作社等3个农民集体共有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0" w:type="dxa"/>
            <w:right w:w="108" w:type="dxa"/>
          </w:tblCellMar>
        </w:tblPrEx>
        <w:trPr>
          <w:cantSplit/>
          <w:trHeight w:val="296" w:hRule="atLeast"/>
        </w:trPr>
        <w:tc>
          <w:tcPr>
            <w:tcW w:w="812" w:type="pct"/>
            <w:vMerge w:val="restart"/>
            <w:shd w:val="clear" w:color="auto" w:fill="auto"/>
            <w:vAlign w:val="center"/>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农高核心区</w:t>
            </w:r>
          </w:p>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片区</w:t>
            </w:r>
          </w:p>
        </w:tc>
        <w:tc>
          <w:tcPr>
            <w:tcW w:w="4187" w:type="pct"/>
            <w:shd w:val="clear" w:color="auto" w:fill="auto"/>
            <w:vAlign w:val="bottom"/>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东源县顺天镇经济联合总社农民集体所有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0" w:type="dxa"/>
            <w:right w:w="108" w:type="dxa"/>
          </w:tblCellMar>
        </w:tblPrEx>
        <w:trPr>
          <w:cantSplit/>
          <w:trHeight w:val="296" w:hRule="atLeast"/>
        </w:trPr>
        <w:tc>
          <w:tcPr>
            <w:tcW w:w="812" w:type="pct"/>
            <w:vMerge w:val="continue"/>
            <w:shd w:val="clear" w:color="auto" w:fill="auto"/>
            <w:vAlign w:val="center"/>
          </w:tcPr>
          <w:p>
            <w:pPr>
              <w:widowControl/>
              <w:spacing w:line="240" w:lineRule="auto"/>
              <w:ind w:firstLine="0" w:firstLineChars="0"/>
              <w:jc w:val="center"/>
              <w:rPr>
                <w:rFonts w:cs="Times New Roman"/>
                <w:color w:val="000000"/>
                <w:kern w:val="0"/>
                <w:sz w:val="21"/>
                <w:szCs w:val="21"/>
              </w:rPr>
            </w:pPr>
          </w:p>
        </w:tc>
        <w:tc>
          <w:tcPr>
            <w:tcW w:w="4187" w:type="pct"/>
            <w:shd w:val="clear" w:color="auto" w:fill="auto"/>
            <w:vAlign w:val="bottom"/>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东源县顺天镇牛生塘村到角经济合作社农民集体所有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0" w:type="dxa"/>
            <w:right w:w="108" w:type="dxa"/>
          </w:tblCellMar>
        </w:tblPrEx>
        <w:trPr>
          <w:cantSplit/>
          <w:trHeight w:val="296" w:hRule="atLeast"/>
        </w:trPr>
        <w:tc>
          <w:tcPr>
            <w:tcW w:w="812" w:type="pct"/>
            <w:vMerge w:val="continue"/>
            <w:shd w:val="clear" w:color="auto" w:fill="auto"/>
            <w:vAlign w:val="center"/>
          </w:tcPr>
          <w:p>
            <w:pPr>
              <w:widowControl/>
              <w:spacing w:line="240" w:lineRule="auto"/>
              <w:ind w:firstLine="0" w:firstLineChars="0"/>
              <w:jc w:val="center"/>
              <w:rPr>
                <w:rFonts w:cs="Times New Roman"/>
                <w:color w:val="000000"/>
                <w:kern w:val="0"/>
                <w:sz w:val="21"/>
                <w:szCs w:val="21"/>
              </w:rPr>
            </w:pPr>
          </w:p>
        </w:tc>
        <w:tc>
          <w:tcPr>
            <w:tcW w:w="4187" w:type="pct"/>
            <w:shd w:val="clear" w:color="auto" w:fill="auto"/>
            <w:vAlign w:val="bottom"/>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东源县顺天镇牛生塘村万丈下经济合作社农民集体所有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0" w:type="dxa"/>
            <w:right w:w="108" w:type="dxa"/>
          </w:tblCellMar>
        </w:tblPrEx>
        <w:trPr>
          <w:cantSplit/>
          <w:trHeight w:val="296" w:hRule="atLeast"/>
        </w:trPr>
        <w:tc>
          <w:tcPr>
            <w:tcW w:w="812" w:type="pct"/>
            <w:vMerge w:val="continue"/>
            <w:shd w:val="clear" w:color="auto" w:fill="auto"/>
            <w:vAlign w:val="center"/>
          </w:tcPr>
          <w:p>
            <w:pPr>
              <w:widowControl/>
              <w:spacing w:line="240" w:lineRule="auto"/>
              <w:ind w:firstLine="0" w:firstLineChars="0"/>
              <w:jc w:val="center"/>
              <w:rPr>
                <w:rFonts w:cs="Times New Roman"/>
                <w:color w:val="000000"/>
                <w:kern w:val="0"/>
                <w:sz w:val="21"/>
                <w:szCs w:val="21"/>
              </w:rPr>
            </w:pPr>
          </w:p>
        </w:tc>
        <w:tc>
          <w:tcPr>
            <w:tcW w:w="4187" w:type="pct"/>
            <w:shd w:val="clear" w:color="auto" w:fill="auto"/>
            <w:vAlign w:val="bottom"/>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东源县顺天镇牛生塘村寨子经济合作社农民集体所有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0" w:type="dxa"/>
            <w:right w:w="108" w:type="dxa"/>
          </w:tblCellMar>
        </w:tblPrEx>
        <w:trPr>
          <w:cantSplit/>
          <w:trHeight w:val="296" w:hRule="atLeast"/>
        </w:trPr>
        <w:tc>
          <w:tcPr>
            <w:tcW w:w="812" w:type="pct"/>
            <w:vMerge w:val="continue"/>
            <w:shd w:val="clear" w:color="auto" w:fill="auto"/>
            <w:vAlign w:val="center"/>
          </w:tcPr>
          <w:p>
            <w:pPr>
              <w:widowControl/>
              <w:spacing w:line="240" w:lineRule="auto"/>
              <w:ind w:firstLine="0" w:firstLineChars="0"/>
              <w:jc w:val="center"/>
              <w:rPr>
                <w:rFonts w:cs="Times New Roman"/>
                <w:color w:val="000000"/>
                <w:kern w:val="0"/>
                <w:sz w:val="21"/>
                <w:szCs w:val="21"/>
              </w:rPr>
            </w:pPr>
          </w:p>
        </w:tc>
        <w:tc>
          <w:tcPr>
            <w:tcW w:w="4187" w:type="pct"/>
            <w:shd w:val="clear" w:color="auto" w:fill="auto"/>
            <w:vAlign w:val="bottom"/>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东源县顺天镇牛潭村良田经济合作社等3个农民集体共有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0" w:type="dxa"/>
            <w:right w:w="108" w:type="dxa"/>
          </w:tblCellMar>
        </w:tblPrEx>
        <w:trPr>
          <w:cantSplit/>
          <w:trHeight w:val="296" w:hRule="atLeast"/>
        </w:trPr>
        <w:tc>
          <w:tcPr>
            <w:tcW w:w="812" w:type="pct"/>
            <w:vMerge w:val="continue"/>
            <w:shd w:val="clear" w:color="auto" w:fill="auto"/>
            <w:vAlign w:val="center"/>
          </w:tcPr>
          <w:p>
            <w:pPr>
              <w:widowControl/>
              <w:spacing w:line="240" w:lineRule="auto"/>
              <w:ind w:firstLine="0" w:firstLineChars="0"/>
              <w:jc w:val="center"/>
              <w:rPr>
                <w:rFonts w:cs="Times New Roman"/>
                <w:color w:val="000000"/>
                <w:kern w:val="0"/>
                <w:sz w:val="21"/>
                <w:szCs w:val="21"/>
              </w:rPr>
            </w:pPr>
          </w:p>
        </w:tc>
        <w:tc>
          <w:tcPr>
            <w:tcW w:w="4187" w:type="pct"/>
            <w:shd w:val="clear" w:color="auto" w:fill="auto"/>
            <w:vAlign w:val="bottom"/>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东源县顺天镇牛潭村三条桥经济合作社等3个农民集体共有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0" w:type="dxa"/>
            <w:right w:w="108" w:type="dxa"/>
          </w:tblCellMar>
        </w:tblPrEx>
        <w:trPr>
          <w:cantSplit/>
          <w:trHeight w:val="296" w:hRule="atLeast"/>
        </w:trPr>
        <w:tc>
          <w:tcPr>
            <w:tcW w:w="812" w:type="pct"/>
            <w:vMerge w:val="continue"/>
            <w:shd w:val="clear" w:color="auto" w:fill="auto"/>
            <w:vAlign w:val="center"/>
          </w:tcPr>
          <w:p>
            <w:pPr>
              <w:widowControl/>
              <w:spacing w:line="240" w:lineRule="auto"/>
              <w:ind w:firstLine="0" w:firstLineChars="0"/>
              <w:jc w:val="center"/>
              <w:rPr>
                <w:rFonts w:cs="Times New Roman"/>
                <w:color w:val="000000"/>
                <w:kern w:val="0"/>
                <w:sz w:val="21"/>
                <w:szCs w:val="21"/>
              </w:rPr>
            </w:pPr>
          </w:p>
        </w:tc>
        <w:tc>
          <w:tcPr>
            <w:tcW w:w="4187" w:type="pct"/>
            <w:shd w:val="clear" w:color="auto" w:fill="auto"/>
            <w:vAlign w:val="bottom"/>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东源县顺天镇牛潭村石元经济合作社农民集体所有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0" w:type="dxa"/>
            <w:right w:w="108" w:type="dxa"/>
          </w:tblCellMar>
        </w:tblPrEx>
        <w:trPr>
          <w:cantSplit/>
          <w:trHeight w:val="296" w:hRule="atLeast"/>
        </w:trPr>
        <w:tc>
          <w:tcPr>
            <w:tcW w:w="812" w:type="pct"/>
            <w:vMerge w:val="restart"/>
            <w:shd w:val="clear" w:color="auto" w:fill="auto"/>
            <w:vAlign w:val="center"/>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船塘片区</w:t>
            </w:r>
          </w:p>
        </w:tc>
        <w:tc>
          <w:tcPr>
            <w:tcW w:w="4187" w:type="pct"/>
            <w:shd w:val="clear" w:color="auto" w:fill="auto"/>
            <w:vAlign w:val="bottom"/>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东源县船塘镇经济联合总社农民集体所有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0" w:type="dxa"/>
            <w:right w:w="108" w:type="dxa"/>
          </w:tblCellMar>
        </w:tblPrEx>
        <w:trPr>
          <w:cantSplit/>
          <w:trHeight w:val="296" w:hRule="atLeast"/>
        </w:trPr>
        <w:tc>
          <w:tcPr>
            <w:tcW w:w="812" w:type="pct"/>
            <w:vMerge w:val="continue"/>
            <w:shd w:val="clear" w:color="auto" w:fill="auto"/>
            <w:vAlign w:val="center"/>
          </w:tcPr>
          <w:p>
            <w:pPr>
              <w:widowControl/>
              <w:spacing w:line="240" w:lineRule="auto"/>
              <w:ind w:firstLine="0" w:firstLineChars="0"/>
              <w:jc w:val="center"/>
              <w:rPr>
                <w:rFonts w:cs="Times New Roman"/>
                <w:color w:val="000000"/>
                <w:kern w:val="0"/>
                <w:sz w:val="21"/>
                <w:szCs w:val="21"/>
              </w:rPr>
            </w:pPr>
          </w:p>
        </w:tc>
        <w:tc>
          <w:tcPr>
            <w:tcW w:w="4187" w:type="pct"/>
            <w:shd w:val="clear" w:color="auto" w:fill="auto"/>
            <w:vAlign w:val="bottom"/>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东源县船塘镇主固村大坪经济合作社等5个农民集体共有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0" w:type="dxa"/>
            <w:right w:w="108" w:type="dxa"/>
          </w:tblCellMar>
        </w:tblPrEx>
        <w:trPr>
          <w:cantSplit/>
          <w:trHeight w:val="306" w:hRule="atLeast"/>
        </w:trPr>
        <w:tc>
          <w:tcPr>
            <w:tcW w:w="81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锡场片区</w:t>
            </w:r>
          </w:p>
        </w:tc>
        <w:tc>
          <w:tcPr>
            <w:tcW w:w="4187"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东源县锡场镇水库村红林经济合作社农民集体所有</w:t>
            </w:r>
          </w:p>
        </w:tc>
      </w:tr>
    </w:tbl>
    <w:p>
      <w:pPr>
        <w:pStyle w:val="2"/>
      </w:pPr>
    </w:p>
    <w:p>
      <w:pPr>
        <w:pStyle w:val="2"/>
      </w:pPr>
    </w:p>
    <w:p>
      <w:pPr>
        <w:pStyle w:val="2"/>
        <w:sectPr>
          <w:footerReference r:id="rId12" w:type="default"/>
          <w:pgSz w:w="11907" w:h="16839"/>
          <w:pgMar w:top="1193" w:right="1574" w:bottom="726" w:left="1702" w:header="0" w:footer="565" w:gutter="0"/>
          <w:cols w:space="720" w:num="1"/>
        </w:sectPr>
      </w:pPr>
    </w:p>
    <w:p>
      <w:pPr>
        <w:pStyle w:val="3"/>
      </w:pPr>
      <w:bookmarkStart w:id="12" w:name="_Toc22601"/>
      <w:r>
        <w:rPr>
          <w:rFonts w:hint="eastAsia"/>
        </w:rPr>
        <w:t>第三章 成片开发的必要性、主要用途和实现功能</w:t>
      </w:r>
      <w:bookmarkEnd w:id="12"/>
    </w:p>
    <w:p>
      <w:pPr>
        <w:pStyle w:val="4"/>
      </w:pPr>
      <w:bookmarkStart w:id="13" w:name="_Toc16452"/>
      <w:r>
        <w:rPr>
          <w:rFonts w:hint="eastAsia"/>
        </w:rPr>
        <w:t>一、必要性分析</w:t>
      </w:r>
      <w:bookmarkEnd w:id="13"/>
    </w:p>
    <w:p>
      <w:pPr>
        <w:pStyle w:val="5"/>
      </w:pPr>
      <w:r>
        <w:rPr>
          <w:rFonts w:hint="eastAsia"/>
        </w:rPr>
        <w:t>（一）实现“示范区”“排头兵”目标的重要布局</w:t>
      </w:r>
    </w:p>
    <w:p>
      <w:pPr>
        <w:ind w:firstLine="560"/>
      </w:pPr>
      <w:bookmarkStart w:id="14" w:name="_Hlk85055245"/>
      <w:r>
        <w:rPr>
          <w:rFonts w:hint="eastAsia"/>
        </w:rPr>
        <w:t>广东省委要求河源抓好粤港澳大湾区建设、深圳先行示范区建设、构建“一核一带一区”区域发展新格局的多重战略机遇，把河源建设成为全省绿色发展的示范区、融入粤港澳大湾区的生态排头兵。河源市坚定践行“绿水青山就是金山银山”理念，坚决破除传统发展模式的思维定势和路径依赖，提出要以“融湾”为“纲”、“融深”为牵引，依托交通通道、开放平台、重大项目和重要工作机制建设，实施差异化“融湾”策略，深度对接大湾区世界级城市群，开展现代化产业体系、科技创新、优质生活圈等领域建设，建设幸福和谐美丽河源。</w:t>
      </w:r>
    </w:p>
    <w:p>
      <w:pPr>
        <w:ind w:firstLine="560"/>
      </w:pPr>
      <w:r>
        <w:rPr>
          <w:rFonts w:hint="eastAsia"/>
        </w:rPr>
        <w:t>东源县需抓住粤港澳大湾区建设、深圳先行示范区建设这一千载难逢的双重机遇，紧跟广东省委、河源市委要求，依托深圳市盐田区对口帮扶及双方共建的深圳盐田（东源）产业转移工业园和全国首批“绿水青山就是金山银山”实践创新基地建设，引导资金、技术、人才、信息流向东源县，打造现代产业平台、培育主导产业、推进产业转型升级。东源县需开展成片开发建设，强化土地集约节约利用，通过成片开发建设优质的产业空间，为珠三角地区转移产业提供支撑平台，推动东源经济社会发展搭上快车，当好建设幸福和谐美丽河源主力军。</w:t>
      </w:r>
    </w:p>
    <w:bookmarkEnd w:id="14"/>
    <w:p>
      <w:pPr>
        <w:pStyle w:val="5"/>
      </w:pPr>
      <w:bookmarkStart w:id="15" w:name="_Hlk85055261"/>
      <w:r>
        <w:rPr>
          <w:rFonts w:hint="eastAsia"/>
        </w:rPr>
        <w:t>（二）构建东源县现代产业体系的重要举措</w:t>
      </w:r>
    </w:p>
    <w:p>
      <w:pPr>
        <w:ind w:firstLine="560"/>
      </w:pPr>
      <w:r>
        <w:rPr>
          <w:rFonts w:hint="eastAsia"/>
        </w:rPr>
        <w:t>为提高东源县经济质量效益和核心竞争力，实现产业升级，改变珠三角产业配套角色定位，东源县必须完善产业平台建设，夯实现代化建设基础。《东源县国民经济和社会发展第十四个五年规划和2035年远景目标纲要》提出，东源县第十四个五年经济建设方面实现的主要目标为“经济结构更加优化，创新能力显著提升，产业基础高级化、产业链现代化水平明显提高，农业基础更加稳固，现代化经济体系建设取得重大进展”。将加强重点产业平台建设，转型升级传统产业，做强做大主导产业，着力培育战略</w:t>
      </w:r>
      <w:r>
        <w:rPr>
          <w:rFonts w:hint="eastAsia"/>
          <w:lang w:eastAsia="zh-CN"/>
        </w:rPr>
        <w:t>性</w:t>
      </w:r>
      <w:r>
        <w:rPr>
          <w:rFonts w:hint="eastAsia"/>
        </w:rPr>
        <w:t>新兴产业，强化创新驱动，构建现代产业体系。</w:t>
      </w:r>
    </w:p>
    <w:p>
      <w:pPr>
        <w:ind w:firstLine="560"/>
      </w:pPr>
      <w:r>
        <w:rPr>
          <w:rFonts w:hint="eastAsia"/>
        </w:rPr>
        <w:t>本次成片开发重点建设新增建设用地主要用于保障重要发展平台和民生基础设施建设，优先保障先进制造业、战略性新兴产业发展空间，建设盐东现代物流园、新材料产业园等项目，引导工业用地向重点平台集中布局。按照高起点规划、高标准建设、高效益管理的发展思路，为东源县产业升级构建完善的产业平台与服务配套，打造完善的现代服务网络。完善的产业平台建设将为电子信息、智能装备、新材料等产业现代化水平提高与创新能力提升提供土壤。</w:t>
      </w:r>
    </w:p>
    <w:bookmarkEnd w:id="15"/>
    <w:p>
      <w:pPr>
        <w:pStyle w:val="5"/>
      </w:pPr>
      <w:bookmarkStart w:id="16" w:name="_Hlk84929531"/>
      <w:r>
        <w:rPr>
          <w:rFonts w:hint="eastAsia"/>
        </w:rPr>
        <w:t>（三）实现乡村振兴的重要举措</w:t>
      </w:r>
    </w:p>
    <w:bookmarkEnd w:id="16"/>
    <w:p>
      <w:pPr>
        <w:ind w:firstLine="560"/>
      </w:pPr>
      <w:r>
        <w:rPr>
          <w:rFonts w:hint="eastAsia"/>
        </w:rPr>
        <w:t>实施乡村振兴战略是党的十九大提出的一项重大战略。2020年以来，东源县深入贯彻习近平总书记关于“三农”工作的重要指示精神，全面落实市委、市政府推进乡村振兴战略部署要求，坚持农业农村优先发展总方针，按照“产业兴旺、生态宜居、乡风文明、治理有效、生活富裕”的总要求，持续推动农业全面升级、农村全面进步、农民全面发展，努力实现农业农村现代化。</w:t>
      </w:r>
    </w:p>
    <w:p>
      <w:pPr>
        <w:ind w:firstLine="560"/>
      </w:pPr>
      <w:r>
        <w:rPr>
          <w:rFonts w:hint="eastAsia"/>
        </w:rPr>
        <w:t>在乡村振兴视角下，成片开发是乡村振兴的重要抓手，可为产业发展提供土地资源支撑。本次成片开发开展灯塔盆地建设，搭建现代农业综合示范平台，重点发展生态农业、精深加工、产品展示、商贸流通和科技推广等现代农业全产业链，有助于东源县完善乡村振兴产业基础，推进乡村振兴和农村一二三产业融合发展，通过建设现代农业产业园区，集中连片发展优势特色产业，带动乡村实现从“脱贫”走向“共同富裕”，构建现代化乡村产业体系，落实相关农产品加工生产空间建设，改变东源县乡村产业较为初级，农业形态较为初始的面貌。</w:t>
      </w:r>
    </w:p>
    <w:p>
      <w:pPr>
        <w:pStyle w:val="4"/>
      </w:pPr>
      <w:bookmarkStart w:id="17" w:name="_Toc28716"/>
      <w:r>
        <w:rPr>
          <w:rFonts w:hint="eastAsia"/>
        </w:rPr>
        <w:t>二、土地用途与实现功能</w:t>
      </w:r>
      <w:bookmarkEnd w:id="17"/>
    </w:p>
    <w:p>
      <w:pPr>
        <w:ind w:firstLine="560"/>
        <w:sectPr>
          <w:footerReference r:id="rId13" w:type="default"/>
          <w:pgSz w:w="11907" w:h="16839"/>
          <w:pgMar w:top="1221" w:right="1606" w:bottom="726" w:left="1702" w:header="0" w:footer="565" w:gutter="0"/>
          <w:cols w:space="720" w:num="1"/>
        </w:sectPr>
      </w:pPr>
      <w:r>
        <w:rPr>
          <w:rFonts w:hint="eastAsia"/>
        </w:rPr>
        <w:t>调整后，东源县2022年度土地征收成片开发方案土地用途以工业用地、物流仓储用地、城市道路、公园绿地、居住用地和商住用地为主，最终以土地用途实际批复用地为准。</w:t>
      </w:r>
    </w:p>
    <w:p>
      <w:pPr>
        <w:pStyle w:val="3"/>
        <w:rPr>
          <w:rFonts w:cs="宋体"/>
        </w:rPr>
      </w:pPr>
      <w:bookmarkStart w:id="18" w:name="_Toc7642"/>
      <w:r>
        <w:rPr>
          <w:rFonts w:hint="eastAsia"/>
        </w:rPr>
        <w:t>第四章 可行性分析</w:t>
      </w:r>
      <w:bookmarkEnd w:id="18"/>
    </w:p>
    <w:p>
      <w:pPr>
        <w:pStyle w:val="4"/>
        <w:rPr>
          <w:rFonts w:cs="宋体"/>
        </w:rPr>
      </w:pPr>
      <w:bookmarkStart w:id="19" w:name="_Toc15821"/>
      <w:r>
        <w:rPr>
          <w:rFonts w:hint="eastAsia" w:cs="宋体"/>
        </w:rPr>
        <w:t>一、与相关规划符合性分析</w:t>
      </w:r>
      <w:bookmarkEnd w:id="19"/>
    </w:p>
    <w:p>
      <w:pPr>
        <w:autoSpaceDN w:val="0"/>
        <w:ind w:left="329" w:firstLine="0" w:firstLineChars="0"/>
        <w:outlineLvl w:val="2"/>
        <w:rPr>
          <w:rFonts w:cs="仿宋"/>
          <w:b/>
          <w:bCs/>
          <w:szCs w:val="28"/>
        </w:rPr>
      </w:pPr>
      <w:r>
        <w:rPr>
          <w:rFonts w:hint="eastAsia" w:cs="仿宋"/>
          <w:b/>
          <w:bCs/>
          <w:szCs w:val="28"/>
        </w:rPr>
        <w:t>（一）与国民经济和社会发展规划衔接情况</w:t>
      </w:r>
    </w:p>
    <w:p>
      <w:pPr>
        <w:ind w:firstLine="560"/>
      </w:pPr>
      <w:r>
        <w:rPr>
          <w:rFonts w:hint="eastAsia" w:cs="仿宋"/>
          <w:kern w:val="0"/>
          <w:szCs w:val="22"/>
        </w:rPr>
        <w:t>调整后，</w:t>
      </w:r>
      <w:r>
        <w:rPr>
          <w:rFonts w:cs="Times New Roman"/>
          <w:kern w:val="0"/>
          <w:szCs w:val="28"/>
        </w:rPr>
        <w:t>河源市</w:t>
      </w:r>
      <w:r>
        <w:rPr>
          <w:rFonts w:hint="eastAsia" w:cs="Times New Roman"/>
          <w:kern w:val="0"/>
          <w:szCs w:val="28"/>
        </w:rPr>
        <w:t>东源县2022年度土地征收</w:t>
      </w:r>
      <w:r>
        <w:rPr>
          <w:rFonts w:cs="Times New Roman"/>
          <w:kern w:val="0"/>
          <w:szCs w:val="28"/>
        </w:rPr>
        <w:t>成片开发方案</w:t>
      </w:r>
      <w:r>
        <w:rPr>
          <w:rFonts w:hint="eastAsia" w:cs="仿宋"/>
          <w:kern w:val="0"/>
          <w:szCs w:val="22"/>
        </w:rPr>
        <w:t>与《东源县国民经济和社会发展第十四个五年规划和2035年远景目标纲要》相衔接，并已纳入《东源县2022年国民经济和社会发展计划》，符合《自然资源部关于印发〈土地征收成片开发标准〉的通知》（自然资规〔</w:t>
      </w:r>
      <w:r>
        <w:rPr>
          <w:rFonts w:cs="仿宋"/>
          <w:kern w:val="0"/>
          <w:szCs w:val="22"/>
        </w:rPr>
        <w:t>2023</w:t>
      </w:r>
      <w:r>
        <w:rPr>
          <w:rFonts w:hint="eastAsia" w:cs="仿宋"/>
          <w:kern w:val="0"/>
          <w:szCs w:val="22"/>
        </w:rPr>
        <w:t>〕</w:t>
      </w:r>
      <w:r>
        <w:rPr>
          <w:rFonts w:cs="仿宋"/>
          <w:kern w:val="0"/>
          <w:szCs w:val="22"/>
        </w:rPr>
        <w:t>7</w:t>
      </w:r>
      <w:r>
        <w:rPr>
          <w:rFonts w:hint="eastAsia" w:cs="仿宋"/>
          <w:kern w:val="0"/>
          <w:szCs w:val="22"/>
        </w:rPr>
        <w:t>号）文件要求。</w:t>
      </w:r>
    </w:p>
    <w:p>
      <w:pPr>
        <w:pStyle w:val="5"/>
        <w:keepNext w:val="0"/>
        <w:keepLines w:val="0"/>
        <w:autoSpaceDN w:val="0"/>
        <w:ind w:left="329"/>
        <w:rPr>
          <w:rFonts w:cs="仿宋"/>
          <w:bCs/>
          <w:kern w:val="0"/>
          <w:szCs w:val="28"/>
        </w:rPr>
      </w:pPr>
      <w:r>
        <w:rPr>
          <w:rFonts w:hint="eastAsia" w:cs="仿宋"/>
          <w:bCs/>
          <w:kern w:val="0"/>
          <w:szCs w:val="28"/>
        </w:rPr>
        <w:t>（二）与国土空间规划衔接情况分析</w:t>
      </w:r>
    </w:p>
    <w:p>
      <w:pPr>
        <w:ind w:firstLine="560"/>
      </w:pPr>
      <w:r>
        <w:rPr>
          <w:rFonts w:hint="eastAsia"/>
        </w:rPr>
        <w:t>调整后，东源县202</w:t>
      </w:r>
      <w:r>
        <w:t>2</w:t>
      </w:r>
      <w:r>
        <w:rPr>
          <w:rFonts w:hint="eastAsia"/>
        </w:rPr>
        <w:t>年度土地征收成片开发方案包含6个片区，1</w:t>
      </w:r>
      <w:r>
        <w:t>7</w:t>
      </w:r>
      <w:r>
        <w:rPr>
          <w:rFonts w:hint="eastAsia"/>
        </w:rPr>
        <w:t>个完整的成片开发范围，共计</w:t>
      </w:r>
      <w:r>
        <w:rPr>
          <w:rFonts w:hint="eastAsia"/>
          <w:lang w:eastAsia="zh-CN"/>
        </w:rPr>
        <w:t>141.4763</w:t>
      </w:r>
      <w:r>
        <w:rPr>
          <w:rFonts w:hint="eastAsia"/>
        </w:rPr>
        <w:t>公顷，不涉及土地利用总体规划确定的禁止建设区，不涉及生态保护红线。拟实施土地征收成片开发用地共计</w:t>
      </w:r>
      <w:r>
        <w:rPr>
          <w:rFonts w:hint="eastAsia"/>
          <w:lang w:eastAsia="zh-CN"/>
        </w:rPr>
        <w:t>84.9353</w:t>
      </w:r>
      <w:r>
        <w:rPr>
          <w:rFonts w:hint="eastAsia"/>
        </w:rPr>
        <w:t>公顷，均位于土地利用总体规划确定的城乡建设用地范围内，不违反城市（镇）总体规划的强制性内容，不涉及市域内必须控制开发的地域、符合城市建设用地要求、城市基础设施和公共服务设施布局合理、不违反历史文化名城保护和城市防灾工程的要求、与近期建设规划不冲突，并严格按规划依法依规建设。实施土地征收成片开发范围内用地符合《中华人民共和国土地管理法》第四十五条第一款第（五）项的规定。</w:t>
      </w:r>
    </w:p>
    <w:p>
      <w:pPr>
        <w:pStyle w:val="11"/>
        <w:ind w:firstLine="560" w:firstLineChars="200"/>
        <w:jc w:val="both"/>
        <w:rPr>
          <w:sz w:val="28"/>
          <w:szCs w:val="28"/>
        </w:rPr>
      </w:pPr>
      <w:r>
        <w:rPr>
          <w:rFonts w:hint="eastAsia"/>
          <w:sz w:val="28"/>
          <w:szCs w:val="28"/>
        </w:rPr>
        <w:t>目前</w:t>
      </w:r>
      <w:r>
        <w:rPr>
          <w:sz w:val="28"/>
          <w:szCs w:val="28"/>
        </w:rPr>
        <w:t>《河源市国土空间总体规划</w:t>
      </w:r>
      <w:r>
        <w:rPr>
          <w:rFonts w:hint="eastAsia"/>
          <w:sz w:val="28"/>
          <w:szCs w:val="28"/>
        </w:rPr>
        <w:t>（</w:t>
      </w:r>
      <w:r>
        <w:rPr>
          <w:sz w:val="28"/>
          <w:szCs w:val="28"/>
        </w:rPr>
        <w:t>2021-2035年</w:t>
      </w:r>
      <w:r>
        <w:rPr>
          <w:rFonts w:hint="eastAsia"/>
          <w:sz w:val="28"/>
          <w:szCs w:val="28"/>
        </w:rPr>
        <w:t>）</w:t>
      </w:r>
      <w:r>
        <w:rPr>
          <w:sz w:val="28"/>
          <w:szCs w:val="28"/>
        </w:rPr>
        <w:t>》</w:t>
      </w:r>
      <w:r>
        <w:rPr>
          <w:rFonts w:hint="eastAsia"/>
          <w:sz w:val="28"/>
          <w:szCs w:val="28"/>
        </w:rPr>
        <w:t>已获广东省人民政府批复，成果尚未启用。根据2022年10月自然资源部下发的</w:t>
      </w:r>
      <w:r>
        <w:rPr>
          <w:rFonts w:hint="eastAsia"/>
          <w:sz w:val="28"/>
          <w:szCs w:val="28"/>
          <w:lang w:bidi="ar"/>
        </w:rPr>
        <w:t>《自然资源部办公厅关于北京等省（区、市）启用“三区三线”划定成果作为报批建设项目用地用海依据的函》（自然资办函</w:t>
      </w:r>
      <w:r>
        <w:rPr>
          <w:rFonts w:hint="eastAsia"/>
          <w:sz w:val="28"/>
          <w:szCs w:val="28"/>
        </w:rPr>
        <w:t>〔2022〕</w:t>
      </w:r>
      <w:r>
        <w:rPr>
          <w:rFonts w:hint="eastAsia"/>
          <w:sz w:val="28"/>
          <w:szCs w:val="28"/>
          <w:lang w:bidi="ar"/>
        </w:rPr>
        <w:t>2207号），明确“三区三线”作为用地报批的重要依据，同年</w:t>
      </w:r>
      <w:r>
        <w:rPr>
          <w:sz w:val="28"/>
          <w:szCs w:val="28"/>
          <w:lang w:bidi="ar"/>
        </w:rPr>
        <w:t>11</w:t>
      </w:r>
      <w:r>
        <w:rPr>
          <w:rFonts w:hint="eastAsia"/>
          <w:sz w:val="28"/>
          <w:szCs w:val="28"/>
          <w:lang w:bidi="ar"/>
        </w:rPr>
        <w:t>月自然资源部下发“三区三线”矢量数据，本次方案以该版数据作为核查依据。</w:t>
      </w:r>
      <w:r>
        <w:rPr>
          <w:rFonts w:hint="eastAsia"/>
          <w:sz w:val="28"/>
          <w:szCs w:val="28"/>
        </w:rPr>
        <w:t>经核河源市东源县“三区三线”成果划定成果，调整后，东源县202</w:t>
      </w:r>
      <w:r>
        <w:rPr>
          <w:sz w:val="28"/>
          <w:szCs w:val="28"/>
        </w:rPr>
        <w:t>2</w:t>
      </w:r>
      <w:r>
        <w:rPr>
          <w:rFonts w:hint="eastAsia"/>
          <w:sz w:val="28"/>
          <w:szCs w:val="28"/>
        </w:rPr>
        <w:t>年度成片开发范围均已纳入“三区三线”划定成果城镇开发边界的集中建设区，不涉及生态保护红线、永久基本农田等底线管控要素，符合国土空间总体规划管控要求。</w:t>
      </w:r>
    </w:p>
    <w:p>
      <w:pPr>
        <w:pStyle w:val="5"/>
        <w:keepNext w:val="0"/>
        <w:keepLines w:val="0"/>
        <w:autoSpaceDN w:val="0"/>
        <w:ind w:left="329"/>
        <w:rPr>
          <w:rFonts w:cs="仿宋"/>
          <w:bCs/>
          <w:kern w:val="0"/>
          <w:szCs w:val="28"/>
        </w:rPr>
      </w:pPr>
      <w:r>
        <w:rPr>
          <w:rFonts w:hint="eastAsia" w:cs="仿宋"/>
          <w:bCs/>
          <w:kern w:val="0"/>
          <w:szCs w:val="28"/>
        </w:rPr>
        <w:t>（三）与环境保护相关规划衔接情况</w:t>
      </w:r>
    </w:p>
    <w:p>
      <w:pPr>
        <w:autoSpaceDN w:val="0"/>
        <w:ind w:firstLine="560"/>
        <w:rPr>
          <w:rFonts w:cs="仿宋"/>
          <w:kern w:val="0"/>
          <w:szCs w:val="22"/>
        </w:rPr>
      </w:pPr>
      <w:r>
        <w:rPr>
          <w:rFonts w:hint="eastAsia" w:cs="仿宋"/>
          <w:kern w:val="0"/>
          <w:szCs w:val="22"/>
        </w:rPr>
        <w:t>根据《河源市生态环境保护“十四五”规划》、《东源县生态环境保护“十四五”规划》有关要求，积极推进生态保护红线监管，建立健全生态环境空间管控体系。</w:t>
      </w:r>
    </w:p>
    <w:p>
      <w:pPr>
        <w:autoSpaceDN w:val="0"/>
        <w:ind w:firstLine="560"/>
        <w:rPr>
          <w:rFonts w:cs="仿宋"/>
          <w:kern w:val="0"/>
          <w:szCs w:val="22"/>
        </w:rPr>
      </w:pPr>
      <w:r>
        <w:rPr>
          <w:rFonts w:hint="eastAsia" w:cs="仿宋"/>
          <w:kern w:val="0"/>
          <w:szCs w:val="22"/>
        </w:rPr>
        <w:t>经核，《方案调整》与《河源市生态环境保护“十四五”规划》相衔接，不涉及《广东省“三线一单”生态环境分区管控方案》和《河源市“三线一单”生态环境分区管控方案》划定的“陆域管控单元”中的优先保护单元，符合绿色发展的理念。</w:t>
      </w:r>
    </w:p>
    <w:p>
      <w:pPr>
        <w:autoSpaceDN w:val="0"/>
        <w:ind w:firstLine="560"/>
      </w:pPr>
      <w:r>
        <w:rPr>
          <w:rFonts w:hint="eastAsia" w:cs="仿宋"/>
          <w:kern w:val="0"/>
          <w:szCs w:val="22"/>
        </w:rPr>
        <w:t>因此，《方案调整》与环境保护规划相衔接。</w:t>
      </w:r>
    </w:p>
    <w:p>
      <w:pPr>
        <w:pStyle w:val="4"/>
        <w:rPr>
          <w:rFonts w:cs="宋体"/>
        </w:rPr>
      </w:pPr>
      <w:bookmarkStart w:id="20" w:name="_Toc32624"/>
      <w:r>
        <w:rPr>
          <w:rFonts w:hint="eastAsia" w:cs="宋体"/>
        </w:rPr>
        <w:t>二、与相关政策符合性分析</w:t>
      </w:r>
      <w:bookmarkEnd w:id="20"/>
    </w:p>
    <w:p>
      <w:pPr>
        <w:pStyle w:val="5"/>
        <w:keepNext w:val="0"/>
        <w:keepLines w:val="0"/>
        <w:autoSpaceDN w:val="0"/>
        <w:ind w:left="329"/>
        <w:rPr>
          <w:rFonts w:cs="仿宋"/>
          <w:bCs/>
          <w:kern w:val="0"/>
          <w:szCs w:val="28"/>
        </w:rPr>
      </w:pPr>
      <w:r>
        <w:rPr>
          <w:rFonts w:hint="eastAsia" w:cs="仿宋"/>
          <w:bCs/>
          <w:kern w:val="0"/>
          <w:szCs w:val="28"/>
        </w:rPr>
        <w:t>（一）与永久基本农田和生态保护红线衔接分析</w:t>
      </w:r>
    </w:p>
    <w:p>
      <w:pPr>
        <w:ind w:firstLine="560"/>
      </w:pPr>
      <w:bookmarkStart w:id="21" w:name="_Hlk84929686"/>
      <w:r>
        <w:rPr>
          <w:rFonts w:hint="eastAsia"/>
        </w:rPr>
        <w:t>根据河源市东源县永久基本农田划定成果以及生态保护红线划定成果，调整后，东源县202</w:t>
      </w:r>
      <w:r>
        <w:t>2</w:t>
      </w:r>
      <w:r>
        <w:rPr>
          <w:rFonts w:hint="eastAsia"/>
        </w:rPr>
        <w:t>年度土地征收成片开发范围不涉及永久基本农田和生态保护红线。</w:t>
      </w:r>
      <w:bookmarkEnd w:id="21"/>
    </w:p>
    <w:p>
      <w:pPr>
        <w:autoSpaceDN w:val="0"/>
        <w:ind w:left="329" w:firstLine="0" w:firstLineChars="0"/>
        <w:outlineLvl w:val="2"/>
        <w:rPr>
          <w:rFonts w:cs="仿宋"/>
          <w:b/>
          <w:bCs/>
          <w:szCs w:val="28"/>
        </w:rPr>
      </w:pPr>
      <w:r>
        <w:rPr>
          <w:rFonts w:hint="eastAsia" w:cs="仿宋"/>
          <w:b/>
          <w:bCs/>
          <w:szCs w:val="28"/>
        </w:rPr>
        <w:t>（二）基础设施、公共服务设施以及其他公益性用地比例</w:t>
      </w:r>
    </w:p>
    <w:p>
      <w:pPr>
        <w:autoSpaceDN w:val="0"/>
        <w:ind w:firstLine="560"/>
        <w:rPr>
          <w:rFonts w:cs="仿宋"/>
          <w:kern w:val="0"/>
          <w:szCs w:val="22"/>
        </w:rPr>
      </w:pPr>
      <w:r>
        <w:rPr>
          <w:rFonts w:hint="eastAsia" w:cs="仿宋"/>
          <w:kern w:val="0"/>
          <w:szCs w:val="22"/>
        </w:rPr>
        <w:t>调整后，成片开发范围内公益性用地总面积57.4497公顷，占成片开发总面积的40.6</w:t>
      </w:r>
      <w:r>
        <w:rPr>
          <w:rFonts w:hint="eastAsia" w:cs="仿宋"/>
          <w:kern w:val="0"/>
          <w:szCs w:val="22"/>
          <w:lang w:val="en-US" w:eastAsia="zh-CN"/>
        </w:rPr>
        <w:t>1</w:t>
      </w:r>
      <w:r>
        <w:rPr>
          <w:rFonts w:hint="eastAsia" w:cs="仿宋"/>
          <w:kern w:val="0"/>
          <w:szCs w:val="22"/>
        </w:rPr>
        <w:t>%。且各成片开发范围公益性用地比例均超过</w:t>
      </w:r>
      <w:r>
        <w:rPr>
          <w:rFonts w:cs="仿宋"/>
          <w:kern w:val="0"/>
          <w:szCs w:val="22"/>
        </w:rPr>
        <w:t>40%</w:t>
      </w:r>
      <w:r>
        <w:rPr>
          <w:rFonts w:hint="eastAsia" w:cs="仿宋"/>
          <w:kern w:val="0"/>
          <w:szCs w:val="22"/>
        </w:rPr>
        <w:t>，满足《自然资源部关于印发</w:t>
      </w:r>
      <w:r>
        <w:rPr>
          <w:rFonts w:cs="仿宋"/>
          <w:kern w:val="0"/>
          <w:szCs w:val="22"/>
        </w:rPr>
        <w:t>&lt;</w:t>
      </w:r>
      <w:r>
        <w:rPr>
          <w:rFonts w:hint="eastAsia" w:cs="仿宋"/>
          <w:kern w:val="0"/>
          <w:szCs w:val="22"/>
        </w:rPr>
        <w:t>土地征收成片开发标准</w:t>
      </w:r>
      <w:r>
        <w:rPr>
          <w:rFonts w:cs="仿宋"/>
          <w:kern w:val="0"/>
          <w:szCs w:val="22"/>
        </w:rPr>
        <w:t>&gt;</w:t>
      </w:r>
      <w:r>
        <w:rPr>
          <w:rFonts w:hint="eastAsia" w:cs="仿宋"/>
          <w:kern w:val="0"/>
          <w:szCs w:val="22"/>
        </w:rPr>
        <w:t>的通知》（自然资规〔</w:t>
      </w:r>
      <w:r>
        <w:rPr>
          <w:rFonts w:cs="仿宋"/>
          <w:kern w:val="0"/>
          <w:szCs w:val="22"/>
        </w:rPr>
        <w:t>2023</w:t>
      </w:r>
      <w:r>
        <w:rPr>
          <w:rFonts w:hint="eastAsia" w:cs="仿宋"/>
          <w:kern w:val="0"/>
          <w:szCs w:val="22"/>
        </w:rPr>
        <w:t>〕</w:t>
      </w:r>
      <w:r>
        <w:rPr>
          <w:rFonts w:cs="仿宋"/>
          <w:kern w:val="0"/>
          <w:szCs w:val="22"/>
        </w:rPr>
        <w:t>7</w:t>
      </w:r>
      <w:r>
        <w:rPr>
          <w:rFonts w:hint="eastAsia" w:cs="仿宋"/>
          <w:kern w:val="0"/>
          <w:szCs w:val="22"/>
        </w:rPr>
        <w:t>号）对单个完整的土地征收成片开发范围内基础设施、公共服务设施以及其他公益性用地比例不低于</w:t>
      </w:r>
      <w:r>
        <w:rPr>
          <w:rFonts w:cs="仿宋"/>
          <w:kern w:val="0"/>
          <w:szCs w:val="22"/>
        </w:rPr>
        <w:t>40%</w:t>
      </w:r>
      <w:r>
        <w:rPr>
          <w:rFonts w:hint="eastAsia" w:cs="仿宋"/>
          <w:kern w:val="0"/>
          <w:szCs w:val="22"/>
        </w:rPr>
        <w:t>的要求。</w:t>
      </w:r>
    </w:p>
    <w:p>
      <w:pPr>
        <w:autoSpaceDN w:val="0"/>
        <w:ind w:left="329" w:firstLine="0" w:firstLineChars="0"/>
        <w:outlineLvl w:val="2"/>
        <w:rPr>
          <w:rFonts w:cs="仿宋"/>
          <w:b/>
          <w:bCs/>
          <w:szCs w:val="28"/>
        </w:rPr>
      </w:pPr>
      <w:r>
        <w:rPr>
          <w:rFonts w:hint="eastAsia" w:cs="仿宋"/>
          <w:b/>
          <w:bCs/>
          <w:szCs w:val="28"/>
        </w:rPr>
        <w:t>（三）拟征收地块面积比例</w:t>
      </w:r>
    </w:p>
    <w:p>
      <w:pPr>
        <w:autoSpaceDN w:val="0"/>
        <w:ind w:firstLine="560"/>
        <w:rPr>
          <w:rFonts w:cs="仿宋"/>
          <w:kern w:val="0"/>
          <w:szCs w:val="22"/>
        </w:rPr>
      </w:pPr>
      <w:r>
        <w:rPr>
          <w:rFonts w:hint="eastAsia" w:cs="仿宋_GB2312"/>
          <w:lang w:bidi="ar"/>
        </w:rPr>
        <w:t>调整后，土地征收成片开发范围面积</w:t>
      </w:r>
      <w:r>
        <w:rPr>
          <w:rFonts w:hint="eastAsia" w:cs="Times New Roman"/>
          <w:lang w:eastAsia="zh-CN" w:bidi="ar"/>
        </w:rPr>
        <w:t>141.4763</w:t>
      </w:r>
      <w:r>
        <w:rPr>
          <w:rFonts w:hint="eastAsia" w:cs="仿宋_GB2312"/>
          <w:lang w:bidi="ar"/>
        </w:rPr>
        <w:t>公顷，其中拟征收地块面积</w:t>
      </w:r>
      <w:r>
        <w:rPr>
          <w:rFonts w:hint="eastAsia" w:cs="Times New Roman"/>
          <w:lang w:eastAsia="zh-CN" w:bidi="ar"/>
        </w:rPr>
        <w:t>84.9353</w:t>
      </w:r>
      <w:r>
        <w:rPr>
          <w:rFonts w:hint="eastAsia" w:cs="仿宋_GB2312"/>
          <w:lang w:bidi="ar"/>
        </w:rPr>
        <w:t>公顷，拟征收地块面积占成片开发范围面积的</w:t>
      </w:r>
      <w:r>
        <w:rPr>
          <w:rFonts w:hint="eastAsia" w:cs="仿宋_GB2312"/>
          <w:lang w:eastAsia="zh-CN" w:bidi="ar"/>
        </w:rPr>
        <w:t>60.04%</w:t>
      </w:r>
      <w:r>
        <w:rPr>
          <w:rFonts w:hint="eastAsia" w:cs="仿宋_GB2312"/>
          <w:lang w:bidi="ar"/>
        </w:rPr>
        <w:t>，符合成片开发范围内拟征收地块面积不小于土地征收成片开发范围面积的</w:t>
      </w:r>
      <w:r>
        <w:rPr>
          <w:rFonts w:cs="Times New Roman"/>
          <w:lang w:bidi="ar"/>
        </w:rPr>
        <w:t>60%</w:t>
      </w:r>
      <w:r>
        <w:rPr>
          <w:rFonts w:hint="eastAsia" w:cs="仿宋_GB2312"/>
          <w:lang w:bidi="ar"/>
        </w:rPr>
        <w:t>的要求。</w:t>
      </w:r>
    </w:p>
    <w:p>
      <w:pPr>
        <w:pStyle w:val="5"/>
        <w:keepNext w:val="0"/>
        <w:keepLines w:val="0"/>
        <w:autoSpaceDN w:val="0"/>
        <w:ind w:left="329"/>
        <w:rPr>
          <w:rFonts w:cs="仿宋"/>
          <w:bCs/>
          <w:kern w:val="0"/>
          <w:szCs w:val="28"/>
        </w:rPr>
      </w:pPr>
    </w:p>
    <w:p>
      <w:pPr>
        <w:pStyle w:val="5"/>
        <w:keepNext w:val="0"/>
        <w:keepLines w:val="0"/>
        <w:autoSpaceDN w:val="0"/>
        <w:ind w:left="329"/>
        <w:rPr>
          <w:rFonts w:cs="仿宋"/>
          <w:bCs/>
          <w:kern w:val="0"/>
          <w:szCs w:val="28"/>
        </w:rPr>
      </w:pPr>
      <w:r>
        <w:rPr>
          <w:rFonts w:hint="eastAsia" w:cs="仿宋"/>
          <w:bCs/>
          <w:kern w:val="0"/>
          <w:szCs w:val="28"/>
        </w:rPr>
        <w:t>（四）区内土地供应和闲置情况</w:t>
      </w:r>
    </w:p>
    <w:p>
      <w:pPr>
        <w:ind w:firstLine="560"/>
      </w:pPr>
      <w:bookmarkStart w:id="22" w:name="_Hlk84963401"/>
      <w:r>
        <w:rPr>
          <w:rFonts w:hint="eastAsia"/>
        </w:rPr>
        <w:t>根据河源市、东源县土地供应及闲置信息数据统计，原2022年土地征收成片开发方案批复前，2017-2021年期间，东源县总批准用地面积合计816.0916公顷，批准用地中已供地面积535.8361公顷，2017-2021年全区平均供地率达65.66%，超过60%。闲置土地方面，东源县土地供应总面积1557.8441公顷，其中已认定为闲置土地面积共41.9339公顷，土地闲置率为为2.69%，东源县土地闲置率小于5%。本次调整2022年土地征收成片开发方案，采用原方案中的土地利用效率指标，因此，东源县不存在大量批而未供和闲置土地，符合《广东省自然资源厅关于规范土地征收成片开发工作的通知》（粤自然资发〔2021〕20号）文的要求。</w:t>
      </w:r>
    </w:p>
    <w:bookmarkEnd w:id="22"/>
    <w:p>
      <w:pPr>
        <w:pStyle w:val="5"/>
        <w:keepNext w:val="0"/>
        <w:keepLines w:val="0"/>
        <w:autoSpaceDN w:val="0"/>
        <w:ind w:left="329"/>
        <w:rPr>
          <w:rFonts w:cs="仿宋"/>
          <w:bCs/>
          <w:kern w:val="0"/>
          <w:szCs w:val="28"/>
        </w:rPr>
      </w:pPr>
      <w:r>
        <w:rPr>
          <w:rFonts w:hint="eastAsia" w:cs="仿宋"/>
          <w:bCs/>
          <w:kern w:val="0"/>
          <w:szCs w:val="28"/>
        </w:rPr>
        <w:t>（五）省级以上开发区、产业转移园情况</w:t>
      </w:r>
    </w:p>
    <w:p>
      <w:pPr>
        <w:ind w:firstLine="560"/>
      </w:pPr>
      <w:r>
        <w:rPr>
          <w:rFonts w:hint="eastAsia"/>
        </w:rPr>
        <w:t>东源县范围行政区域内经国务院或省人民政府批准设立的开发区、产业转移园有深圳盐田（东源）产业转移工业园，园区于2020</w:t>
      </w:r>
      <w:r>
        <w:rPr>
          <w:rFonts w:hint="eastAsia"/>
          <w:lang w:eastAsia="zh-CN"/>
        </w:rPr>
        <w:t>年</w:t>
      </w:r>
      <w:r>
        <w:rPr>
          <w:rFonts w:hint="eastAsia"/>
        </w:rPr>
        <w:t>被省政府认定为“河源东源高新技术产业开发区”，是全市第一批获得省政府批准的省高新技术产业开发区。东源县无国家级新区。</w:t>
      </w:r>
    </w:p>
    <w:p>
      <w:pPr>
        <w:ind w:firstLine="560"/>
      </w:pPr>
      <w:r>
        <w:rPr>
          <w:rFonts w:hint="eastAsia"/>
        </w:rPr>
        <w:t>根据广东省土地市场监测监管系统数据内闲置土地台账数据，东源县深圳盐田（东源）产业转移园内无闲置土地，闲置率为0%。根据最新的工业园区土地利用节约集约评价，深圳盐田（东源）产业转移工业园2017-2021年供地率为83.14%，园区综合容积率为0.89。不属于不得批准成片开发方案的情形3：“编制主体行政区域内经国务院或省人民政府批准设立的开发区、产业转移园存在以下情形中的两种及以上的：近五年平均供地率小于60%、土地闲置率大于5%、综合容积率小于0.5”范畴。</w:t>
      </w:r>
    </w:p>
    <w:p>
      <w:pPr>
        <w:pStyle w:val="5"/>
      </w:pPr>
      <w:r>
        <w:rPr>
          <w:rFonts w:hint="eastAsia"/>
        </w:rPr>
        <w:t>（六）已批准实施的成片开发方案的实施情况</w:t>
      </w:r>
    </w:p>
    <w:p>
      <w:pPr>
        <w:ind w:firstLine="560"/>
      </w:pPr>
      <w:r>
        <w:rPr>
          <w:rFonts w:hint="eastAsia"/>
        </w:rPr>
        <w:t>《河源市东源县2021年度土地征收成片开发方案（调整）》中计划2021年度完成99.2632公顷的土地征收，已完成全部项目征地报批组卷工作；计划2022年完成55.2921公顷的土地征收，已完成全部项目征地报批组卷工作；计划2023年完成96.3039公顷的土地征收，</w:t>
      </w:r>
      <w:r>
        <w:rPr>
          <w:rFonts w:hint="eastAsia"/>
          <w:lang w:eastAsia="zh-CN"/>
        </w:rPr>
        <w:t>截至</w:t>
      </w:r>
      <w:r>
        <w:rPr>
          <w:rFonts w:hint="eastAsia"/>
        </w:rPr>
        <w:t>目前已完成报批征地面积88.4163公顷，占年度总征地面积的91.81%。</w:t>
      </w:r>
    </w:p>
    <w:p>
      <w:pPr>
        <w:ind w:firstLine="560"/>
      </w:pPr>
      <w:r>
        <w:rPr>
          <w:rFonts w:hint="eastAsia"/>
        </w:rPr>
        <w:t>《河源市东源县2022年度土地征收成片开发方案》中计划2022年度完成6.8429公顷的土地征收，已完成征地用地报批面积5.6378公顷；计划2023年完成10.5433公顷的土地征收，已完成征地用地报批面积5.9057公顷；计划2024年完成94.3377公顷的土地征收，截</w:t>
      </w:r>
      <w:r>
        <w:rPr>
          <w:rFonts w:hint="eastAsia"/>
          <w:lang w:eastAsia="zh-CN"/>
        </w:rPr>
        <w:t>致</w:t>
      </w:r>
      <w:r>
        <w:rPr>
          <w:rFonts w:hint="eastAsia"/>
        </w:rPr>
        <w:t>目前已完成报批征地面积3.8016公顷。</w:t>
      </w:r>
    </w:p>
    <w:p>
      <w:pPr>
        <w:ind w:firstLine="560"/>
        <w:rPr>
          <w:rFonts w:cs="Times New Roman"/>
          <w:szCs w:val="28"/>
        </w:rPr>
      </w:pPr>
      <w:r>
        <w:rPr>
          <w:rFonts w:hint="eastAsia"/>
        </w:rPr>
        <w:t>综上，已批准的成片开发方案中2021年度实施已完成、2022年度实施计划已完成98.06%</w:t>
      </w:r>
      <w:r>
        <w:rPr>
          <w:rFonts w:hint="eastAsia"/>
        </w:rPr>
        <w:tab/>
      </w:r>
      <w:r>
        <w:rPr>
          <w:rFonts w:hint="eastAsia"/>
        </w:rPr>
        <w:t>，不存在已批准实施的土地征收成片开发方案连续两年未完成年度土地征收实施计划的情况。</w:t>
      </w:r>
    </w:p>
    <w:p>
      <w:pPr>
        <w:pStyle w:val="4"/>
        <w:rPr>
          <w:rFonts w:cs="Times New Roman"/>
        </w:rPr>
      </w:pPr>
      <w:bookmarkStart w:id="23" w:name="_Toc16580"/>
      <w:r>
        <w:rPr>
          <w:rFonts w:hint="eastAsia" w:cs="Times New Roman"/>
        </w:rPr>
        <w:t>三、占用现状耕地情况分析</w:t>
      </w:r>
      <w:bookmarkEnd w:id="23"/>
    </w:p>
    <w:p>
      <w:pPr>
        <w:ind w:firstLine="560"/>
      </w:pPr>
      <w:r>
        <w:rPr>
          <w:rFonts w:hint="eastAsia"/>
        </w:rPr>
        <w:t>经核</w:t>
      </w:r>
      <w:r>
        <w:rPr>
          <w:rFonts w:hint="eastAsia"/>
          <w:lang w:eastAsia="zh-CN"/>
        </w:rPr>
        <w:t>实</w:t>
      </w:r>
      <w:r>
        <w:rPr>
          <w:rFonts w:hint="eastAsia"/>
        </w:rPr>
        <w:t>东源县20</w:t>
      </w:r>
      <w:r>
        <w:t>2</w:t>
      </w:r>
      <w:r>
        <w:rPr>
          <w:rFonts w:hint="eastAsia"/>
        </w:rPr>
        <w:t>2年度土地变更调查成果，调整后，东源县202</w:t>
      </w:r>
      <w:r>
        <w:t>2</w:t>
      </w:r>
      <w:r>
        <w:rPr>
          <w:rFonts w:hint="eastAsia"/>
        </w:rPr>
        <w:t>年度土地征收成片开发方范围共涉及现状耕地面积0.9065公顷（其中水田0.4677公顷)，占成片开发范围总面积的0.6</w:t>
      </w:r>
      <w:r>
        <w:rPr>
          <w:rFonts w:hint="eastAsia"/>
          <w:lang w:val="en-US" w:eastAsia="zh-CN"/>
        </w:rPr>
        <w:t>4</w:t>
      </w:r>
      <w:r>
        <w:rPr>
          <w:rFonts w:hint="eastAsia"/>
        </w:rPr>
        <w:t>%。</w:t>
      </w:r>
    </w:p>
    <w:p>
      <w:pPr>
        <w:ind w:firstLine="560"/>
      </w:pPr>
      <w:r>
        <w:rPr>
          <w:rFonts w:hint="eastAsia"/>
        </w:rPr>
        <w:t>《方案调整》中的各项目用地报批前，计划使用区本级耕地指标完成耕地占补平衡。当前东源县耕地及水田结余指标均能满足成片开发项目占用耕地的占补平衡需求，能实现占优补优，占水田补水田按照《方案调整》及相关政策要求补充耕地后不影响区域内耕地保护任务落实。</w:t>
      </w:r>
    </w:p>
    <w:p>
      <w:pPr>
        <w:pStyle w:val="4"/>
        <w:rPr>
          <w:rFonts w:cs="宋体"/>
        </w:rPr>
      </w:pPr>
      <w:bookmarkStart w:id="24" w:name="_Toc27130"/>
      <w:r>
        <w:rPr>
          <w:rFonts w:hint="eastAsia" w:cs="宋体"/>
        </w:rPr>
        <w:t>四、与征地安置补偿措施的衔接情况分析</w:t>
      </w:r>
      <w:bookmarkEnd w:id="24"/>
    </w:p>
    <w:p>
      <w:pPr>
        <w:ind w:firstLine="560"/>
      </w:pPr>
      <w:r>
        <w:rPr>
          <w:rFonts w:hint="eastAsia"/>
        </w:rPr>
        <w:t>东源县</w:t>
      </w:r>
      <w:r>
        <w:t>人民政府将严格按规定开展《方案</w:t>
      </w:r>
      <w:r>
        <w:rPr>
          <w:rFonts w:hint="eastAsia"/>
        </w:rPr>
        <w:t>调整</w:t>
      </w:r>
      <w:r>
        <w:t>》中拟征收地块的征地工作，在征地过程中另行编制征地补偿安置方案，依法依规实施集体土地征收与补偿，及时足额支付土地补偿费、安置补助费以及农村村民住宅以外的房屋、其他地上附着物和青苗等的补偿费用，切实保障农民的合法权益。</w:t>
      </w:r>
    </w:p>
    <w:p>
      <w:pPr>
        <w:ind w:firstLine="560"/>
      </w:pPr>
      <w:r>
        <w:rPr>
          <w:rFonts w:hint="eastAsia"/>
        </w:rPr>
        <w:br w:type="page"/>
      </w:r>
    </w:p>
    <w:p>
      <w:pPr>
        <w:pStyle w:val="3"/>
      </w:pPr>
      <w:bookmarkStart w:id="25" w:name="_Toc26354"/>
      <w:r>
        <w:rPr>
          <w:rFonts w:hint="eastAsia"/>
        </w:rPr>
        <w:t>第五章 实施计划</w:t>
      </w:r>
      <w:bookmarkEnd w:id="25"/>
    </w:p>
    <w:p>
      <w:pPr>
        <w:pStyle w:val="4"/>
        <w:rPr>
          <w:rFonts w:cs="宋体"/>
        </w:rPr>
      </w:pPr>
      <w:bookmarkStart w:id="26" w:name="_Toc1455"/>
      <w:r>
        <w:rPr>
          <w:rFonts w:hint="eastAsia" w:cs="宋体"/>
        </w:rPr>
        <w:t>一、项目安排</w:t>
      </w:r>
      <w:bookmarkEnd w:id="26"/>
    </w:p>
    <w:p>
      <w:pPr>
        <w:ind w:firstLine="560"/>
      </w:pPr>
      <w:bookmarkStart w:id="27" w:name="_Hlk73548724"/>
      <w:r>
        <w:rPr>
          <w:rFonts w:hint="eastAsia"/>
        </w:rPr>
        <w:t>调整后，东源县202</w:t>
      </w:r>
      <w:r>
        <w:t>2</w:t>
      </w:r>
      <w:r>
        <w:rPr>
          <w:rFonts w:hint="eastAsia"/>
        </w:rPr>
        <w:t>年度土地征收成片开发方案项目主要包括产业制造类和商业服务类</w:t>
      </w:r>
      <w:bookmarkEnd w:id="27"/>
      <w:r>
        <w:rPr>
          <w:rFonts w:hint="eastAsia"/>
        </w:rPr>
        <w:t>项目共计15个项目，共需征收集体土地面积</w:t>
      </w:r>
      <w:r>
        <w:rPr>
          <w:rFonts w:hint="eastAsia"/>
          <w:lang w:eastAsia="zh-CN"/>
        </w:rPr>
        <w:t>84.9353</w:t>
      </w:r>
      <w:r>
        <w:rPr>
          <w:rFonts w:hint="eastAsia"/>
        </w:rPr>
        <w:t>公顷。</w:t>
      </w:r>
    </w:p>
    <w:p>
      <w:pPr>
        <w:pStyle w:val="4"/>
        <w:rPr>
          <w:rFonts w:cs="宋体"/>
        </w:rPr>
      </w:pPr>
      <w:bookmarkStart w:id="28" w:name="_Toc10810"/>
      <w:r>
        <w:rPr>
          <w:rFonts w:hint="eastAsia" w:cs="宋体"/>
        </w:rPr>
        <w:t>二、开发时序与实施计划</w:t>
      </w:r>
      <w:bookmarkEnd w:id="28"/>
    </w:p>
    <w:p>
      <w:pPr>
        <w:ind w:firstLine="560"/>
        <w:rPr>
          <w:highlight w:val="yellow"/>
        </w:rPr>
      </w:pPr>
      <w:r>
        <w:rPr>
          <w:rFonts w:hint="eastAsia"/>
        </w:rPr>
        <w:t>结合规划建设计划、被征地单位意愿、征地资金情况、土地审批信息情况等因素，确定各成片开发项目的开发时序，制定了两年实施计划，即2023年至202</w:t>
      </w:r>
      <w:r>
        <w:t>4</w:t>
      </w:r>
      <w:r>
        <w:rPr>
          <w:rFonts w:hint="eastAsia"/>
        </w:rPr>
        <w:t>年期间完成</w:t>
      </w:r>
      <w:r>
        <w:rPr>
          <w:rFonts w:hint="eastAsia"/>
          <w:lang w:eastAsia="zh-CN"/>
        </w:rPr>
        <w:t>84.9353</w:t>
      </w:r>
      <w:r>
        <w:rPr>
          <w:rFonts w:hint="eastAsia"/>
        </w:rPr>
        <w:t>公顷集体土地征收工作，</w:t>
      </w:r>
      <w:r>
        <w:rPr>
          <w:rFonts w:hint="eastAsia" w:cs="仿宋_GB2312"/>
          <w:lang w:bidi="ar"/>
        </w:rPr>
        <w:t>其中</w:t>
      </w:r>
      <w:r>
        <w:rPr>
          <w:rFonts w:cs="仿宋_GB2312"/>
          <w:lang w:bidi="ar"/>
        </w:rPr>
        <w:t>2023</w:t>
      </w:r>
      <w:r>
        <w:rPr>
          <w:rFonts w:hint="eastAsia" w:cs="仿宋_GB2312"/>
          <w:lang w:bidi="ar"/>
        </w:rPr>
        <w:t>年计划征收11.4960顷，</w:t>
      </w:r>
      <w:r>
        <w:rPr>
          <w:rFonts w:cs="仿宋_GB2312"/>
          <w:lang w:bidi="ar"/>
        </w:rPr>
        <w:t>2024</w:t>
      </w:r>
      <w:r>
        <w:rPr>
          <w:rFonts w:hint="eastAsia" w:cs="仿宋_GB2312"/>
          <w:lang w:bidi="ar"/>
        </w:rPr>
        <w:t>年计划征收74.4393公顷</w:t>
      </w:r>
      <w:r>
        <w:rPr>
          <w:rFonts w:hint="eastAsia"/>
        </w:rPr>
        <w:t>。具体如下表：</w:t>
      </w:r>
    </w:p>
    <w:p>
      <w:pPr>
        <w:pStyle w:val="11"/>
        <w:spacing w:line="240" w:lineRule="auto"/>
      </w:pPr>
      <w:r>
        <w:t>表5-</w:t>
      </w:r>
      <w:r>
        <w:rPr>
          <w:rFonts w:hint="eastAsia"/>
        </w:rPr>
        <w:t>1</w:t>
      </w:r>
      <w:r>
        <w:t xml:space="preserve"> </w:t>
      </w:r>
      <w:r>
        <w:rPr>
          <w:rFonts w:hint="eastAsia"/>
        </w:rPr>
        <w:t>各成片开发项目开发时序情况表4</w:t>
      </w:r>
      <w:r>
        <w:rPr>
          <w:rFonts w:hint="eastAsia"/>
          <w:lang w:val="en-US" w:eastAsia="zh-CN"/>
        </w:rPr>
        <w:t>.</w:t>
      </w:r>
      <w:r>
        <w:rPr>
          <w:rFonts w:hint="eastAsia"/>
        </w:rPr>
        <w:t>8262</w:t>
      </w:r>
    </w:p>
    <w:p>
      <w:pPr>
        <w:snapToGrid w:val="0"/>
        <w:spacing w:line="240" w:lineRule="auto"/>
        <w:ind w:firstLine="480"/>
        <w:jc w:val="right"/>
      </w:pPr>
      <w:r>
        <w:rPr>
          <w:rFonts w:hint="eastAsia" w:cs="Times New Roman"/>
          <w:sz w:val="24"/>
          <w:szCs w:val="20"/>
        </w:rPr>
        <w:t>单位：公顷</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4"/>
        <w:gridCol w:w="4176"/>
        <w:gridCol w:w="932"/>
        <w:gridCol w:w="932"/>
        <w:gridCol w:w="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0" w:type="auto"/>
            <w:vMerge w:val="restart"/>
            <w:shd w:val="clear" w:color="auto" w:fill="auto"/>
            <w:vAlign w:val="center"/>
          </w:tcPr>
          <w:p>
            <w:pPr>
              <w:widowControl/>
              <w:spacing w:line="240" w:lineRule="auto"/>
              <w:ind w:firstLine="0" w:firstLineChars="0"/>
              <w:jc w:val="center"/>
              <w:textAlignment w:val="center"/>
              <w:rPr>
                <w:rFonts w:cs="宋体"/>
                <w:b/>
                <w:bCs/>
                <w:color w:val="000000"/>
                <w:sz w:val="22"/>
                <w:szCs w:val="21"/>
              </w:rPr>
            </w:pPr>
            <w:r>
              <w:rPr>
                <w:rFonts w:hint="eastAsia" w:cs="宋体"/>
                <w:b/>
                <w:bCs/>
                <w:color w:val="000000"/>
                <w:kern w:val="0"/>
                <w:sz w:val="22"/>
                <w:szCs w:val="21"/>
                <w:lang w:bidi="ar"/>
              </w:rPr>
              <w:t>成片开发范围</w:t>
            </w:r>
          </w:p>
        </w:tc>
        <w:tc>
          <w:tcPr>
            <w:tcW w:w="0" w:type="auto"/>
            <w:vMerge w:val="restart"/>
            <w:shd w:val="clear" w:color="auto" w:fill="auto"/>
            <w:vAlign w:val="center"/>
          </w:tcPr>
          <w:p>
            <w:pPr>
              <w:widowControl/>
              <w:spacing w:line="240" w:lineRule="auto"/>
              <w:ind w:firstLine="0" w:firstLineChars="0"/>
              <w:jc w:val="center"/>
              <w:textAlignment w:val="center"/>
              <w:rPr>
                <w:rFonts w:cs="宋体"/>
                <w:b/>
                <w:bCs/>
                <w:color w:val="000000"/>
                <w:sz w:val="22"/>
                <w:szCs w:val="21"/>
              </w:rPr>
            </w:pPr>
            <w:r>
              <w:rPr>
                <w:rFonts w:hint="eastAsia" w:cs="宋体"/>
                <w:b/>
                <w:bCs/>
                <w:color w:val="000000"/>
                <w:kern w:val="0"/>
                <w:sz w:val="22"/>
                <w:szCs w:val="21"/>
                <w:lang w:bidi="ar"/>
              </w:rPr>
              <w:t>项目名称</w:t>
            </w:r>
          </w:p>
        </w:tc>
        <w:tc>
          <w:tcPr>
            <w:tcW w:w="0" w:type="auto"/>
            <w:gridSpan w:val="2"/>
            <w:shd w:val="clear" w:color="auto" w:fill="auto"/>
            <w:noWrap/>
            <w:vAlign w:val="center"/>
          </w:tcPr>
          <w:p>
            <w:pPr>
              <w:widowControl/>
              <w:spacing w:line="240" w:lineRule="auto"/>
              <w:ind w:firstLine="0" w:firstLineChars="0"/>
              <w:jc w:val="center"/>
              <w:textAlignment w:val="center"/>
              <w:rPr>
                <w:rFonts w:cs="宋体"/>
                <w:b/>
                <w:bCs/>
                <w:color w:val="000000"/>
                <w:kern w:val="0"/>
                <w:sz w:val="22"/>
                <w:szCs w:val="21"/>
                <w:lang w:bidi="ar"/>
              </w:rPr>
            </w:pPr>
            <w:r>
              <w:rPr>
                <w:rFonts w:hint="eastAsia" w:cs="宋体"/>
                <w:b/>
                <w:bCs/>
                <w:color w:val="000000"/>
                <w:kern w:val="0"/>
                <w:sz w:val="22"/>
                <w:szCs w:val="21"/>
                <w:lang w:bidi="ar"/>
              </w:rPr>
              <w:t>拟征地征收时序</w:t>
            </w:r>
          </w:p>
        </w:tc>
        <w:tc>
          <w:tcPr>
            <w:tcW w:w="0" w:type="auto"/>
            <w:vMerge w:val="restart"/>
            <w:shd w:val="clear" w:color="auto" w:fill="auto"/>
            <w:noWrap/>
            <w:vAlign w:val="center"/>
          </w:tcPr>
          <w:p>
            <w:pPr>
              <w:widowControl/>
              <w:spacing w:line="240" w:lineRule="auto"/>
              <w:ind w:firstLine="0" w:firstLineChars="0"/>
              <w:jc w:val="center"/>
              <w:textAlignment w:val="center"/>
              <w:rPr>
                <w:rFonts w:cs="Arial"/>
                <w:color w:val="000000"/>
                <w:sz w:val="22"/>
                <w:szCs w:val="21"/>
              </w:rPr>
            </w:pPr>
            <w:r>
              <w:rPr>
                <w:rFonts w:cs="Arial"/>
                <w:b/>
                <w:bCs/>
                <w:color w:val="000000"/>
                <w:kern w:val="0"/>
                <w:sz w:val="22"/>
                <w:szCs w:val="21"/>
                <w:lang w:bidi="ar"/>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0" w:type="auto"/>
            <w:vMerge w:val="continue"/>
            <w:shd w:val="clear" w:color="auto" w:fill="auto"/>
            <w:vAlign w:val="center"/>
          </w:tcPr>
          <w:p>
            <w:pPr>
              <w:widowControl/>
              <w:spacing w:line="240" w:lineRule="auto"/>
              <w:ind w:firstLine="0" w:firstLineChars="0"/>
              <w:jc w:val="center"/>
              <w:rPr>
                <w:rFonts w:cs="宋体"/>
                <w:b/>
                <w:bCs/>
                <w:color w:val="000000"/>
                <w:sz w:val="22"/>
                <w:szCs w:val="21"/>
              </w:rPr>
            </w:pPr>
          </w:p>
        </w:tc>
        <w:tc>
          <w:tcPr>
            <w:tcW w:w="0" w:type="auto"/>
            <w:vMerge w:val="continue"/>
            <w:shd w:val="clear" w:color="auto" w:fill="auto"/>
            <w:vAlign w:val="center"/>
          </w:tcPr>
          <w:p>
            <w:pPr>
              <w:widowControl/>
              <w:spacing w:line="240" w:lineRule="auto"/>
              <w:ind w:firstLine="0" w:firstLineChars="0"/>
              <w:jc w:val="center"/>
              <w:rPr>
                <w:rFonts w:cs="宋体"/>
                <w:b/>
                <w:bCs/>
                <w:color w:val="000000"/>
                <w:sz w:val="22"/>
                <w:szCs w:val="21"/>
              </w:rPr>
            </w:pPr>
          </w:p>
        </w:tc>
        <w:tc>
          <w:tcPr>
            <w:tcW w:w="0" w:type="auto"/>
            <w:shd w:val="clear" w:color="auto" w:fill="auto"/>
            <w:noWrap/>
            <w:vAlign w:val="center"/>
          </w:tcPr>
          <w:p>
            <w:pPr>
              <w:widowControl/>
              <w:spacing w:line="240" w:lineRule="auto"/>
              <w:ind w:firstLine="0" w:firstLineChars="0"/>
              <w:jc w:val="center"/>
              <w:textAlignment w:val="center"/>
              <w:rPr>
                <w:rFonts w:cs="Arial"/>
                <w:b/>
                <w:bCs/>
                <w:color w:val="000000"/>
                <w:sz w:val="22"/>
                <w:szCs w:val="21"/>
              </w:rPr>
            </w:pPr>
            <w:r>
              <w:rPr>
                <w:rFonts w:cs="Arial"/>
                <w:b/>
                <w:bCs/>
                <w:color w:val="000000"/>
                <w:kern w:val="0"/>
                <w:sz w:val="22"/>
                <w:szCs w:val="21"/>
                <w:lang w:bidi="ar"/>
              </w:rPr>
              <w:t>2023</w:t>
            </w:r>
            <w:r>
              <w:rPr>
                <w:rFonts w:hint="eastAsia" w:cs="Arial"/>
                <w:b/>
                <w:bCs/>
                <w:color w:val="000000"/>
                <w:kern w:val="0"/>
                <w:sz w:val="22"/>
                <w:szCs w:val="21"/>
                <w:lang w:bidi="ar"/>
              </w:rPr>
              <w:t>年</w:t>
            </w:r>
          </w:p>
        </w:tc>
        <w:tc>
          <w:tcPr>
            <w:tcW w:w="0" w:type="auto"/>
            <w:shd w:val="clear" w:color="auto" w:fill="auto"/>
            <w:noWrap/>
            <w:vAlign w:val="center"/>
          </w:tcPr>
          <w:p>
            <w:pPr>
              <w:widowControl/>
              <w:spacing w:line="240" w:lineRule="auto"/>
              <w:ind w:firstLine="0" w:firstLineChars="0"/>
              <w:jc w:val="center"/>
              <w:textAlignment w:val="center"/>
              <w:rPr>
                <w:rFonts w:cs="Arial"/>
                <w:b/>
                <w:bCs/>
                <w:color w:val="000000"/>
                <w:sz w:val="22"/>
                <w:szCs w:val="21"/>
              </w:rPr>
            </w:pPr>
            <w:r>
              <w:rPr>
                <w:rFonts w:cs="Arial"/>
                <w:b/>
                <w:bCs/>
                <w:color w:val="000000"/>
                <w:kern w:val="0"/>
                <w:sz w:val="22"/>
                <w:szCs w:val="21"/>
                <w:lang w:bidi="ar"/>
              </w:rPr>
              <w:t>2024</w:t>
            </w:r>
            <w:r>
              <w:rPr>
                <w:rFonts w:hint="eastAsia" w:cs="Arial"/>
                <w:b/>
                <w:bCs/>
                <w:color w:val="000000"/>
                <w:kern w:val="0"/>
                <w:sz w:val="22"/>
                <w:szCs w:val="21"/>
                <w:lang w:bidi="ar"/>
              </w:rPr>
              <w:t>年</w:t>
            </w:r>
          </w:p>
        </w:tc>
        <w:tc>
          <w:tcPr>
            <w:tcW w:w="0" w:type="auto"/>
            <w:vMerge w:val="continue"/>
            <w:shd w:val="clear" w:color="auto" w:fill="auto"/>
            <w:noWrap/>
            <w:vAlign w:val="center"/>
          </w:tcPr>
          <w:p>
            <w:pPr>
              <w:widowControl/>
              <w:spacing w:line="240" w:lineRule="auto"/>
              <w:ind w:firstLine="0" w:firstLineChars="0"/>
              <w:jc w:val="center"/>
              <w:textAlignment w:val="center"/>
              <w:rPr>
                <w:rFonts w:cs="Arial"/>
                <w:color w:val="000000"/>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Merge w:val="restart"/>
            <w:shd w:val="clear" w:color="auto" w:fill="auto"/>
            <w:vAlign w:val="center"/>
          </w:tcPr>
          <w:p>
            <w:pPr>
              <w:widowControl/>
              <w:spacing w:line="240" w:lineRule="auto"/>
              <w:ind w:firstLine="0" w:firstLineChars="0"/>
              <w:jc w:val="center"/>
              <w:textAlignment w:val="center"/>
              <w:rPr>
                <w:rFonts w:cs="Arial"/>
                <w:color w:val="000000"/>
                <w:sz w:val="22"/>
                <w:szCs w:val="21"/>
              </w:rPr>
            </w:pPr>
            <w:r>
              <w:rPr>
                <w:rFonts w:hint="eastAsia" w:cs="Arial"/>
                <w:color w:val="000000"/>
                <w:kern w:val="0"/>
                <w:sz w:val="22"/>
                <w:szCs w:val="21"/>
                <w:lang w:bidi="ar"/>
              </w:rPr>
              <w:t>盐东产业转移园片区</w:t>
            </w:r>
          </w:p>
        </w:tc>
        <w:tc>
          <w:tcPr>
            <w:tcW w:w="0" w:type="auto"/>
            <w:shd w:val="clear" w:color="auto" w:fill="auto"/>
            <w:vAlign w:val="center"/>
          </w:tcPr>
          <w:p>
            <w:pPr>
              <w:widowControl/>
              <w:spacing w:line="240" w:lineRule="auto"/>
              <w:ind w:firstLine="0" w:firstLineChars="0"/>
              <w:jc w:val="center"/>
              <w:textAlignment w:val="center"/>
              <w:rPr>
                <w:rFonts w:cs="宋体"/>
                <w:color w:val="000000"/>
                <w:sz w:val="22"/>
                <w:szCs w:val="21"/>
              </w:rPr>
            </w:pPr>
            <w:r>
              <w:rPr>
                <w:rFonts w:hint="eastAsia" w:cs="宋体"/>
                <w:color w:val="000000"/>
                <w:kern w:val="0"/>
                <w:sz w:val="22"/>
                <w:szCs w:val="21"/>
                <w:lang w:bidi="ar"/>
              </w:rPr>
              <w:t>盐田东源共建现代物流园建设项目</w:t>
            </w:r>
          </w:p>
        </w:tc>
        <w:tc>
          <w:tcPr>
            <w:tcW w:w="0" w:type="auto"/>
            <w:shd w:val="clear" w:color="auto" w:fill="auto"/>
            <w:noWrap/>
            <w:vAlign w:val="center"/>
          </w:tcPr>
          <w:p>
            <w:pPr>
              <w:widowControl/>
              <w:spacing w:line="240" w:lineRule="auto"/>
              <w:ind w:firstLine="0" w:firstLineChars="0"/>
              <w:jc w:val="center"/>
              <w:textAlignment w:val="center"/>
              <w:rPr>
                <w:rFonts w:cs="Arial"/>
                <w:color w:val="000000"/>
                <w:sz w:val="22"/>
                <w:szCs w:val="21"/>
              </w:rPr>
            </w:pPr>
            <w:r>
              <w:rPr>
                <w:rFonts w:cs="Arial"/>
                <w:color w:val="000000"/>
                <w:kern w:val="0"/>
                <w:sz w:val="22"/>
                <w:szCs w:val="21"/>
                <w:lang w:bidi="ar"/>
              </w:rPr>
              <w:t>0</w:t>
            </w:r>
          </w:p>
        </w:tc>
        <w:tc>
          <w:tcPr>
            <w:tcW w:w="0" w:type="auto"/>
            <w:shd w:val="clear" w:color="auto" w:fill="auto"/>
            <w:noWrap/>
            <w:vAlign w:val="center"/>
          </w:tcPr>
          <w:p>
            <w:pPr>
              <w:widowControl/>
              <w:spacing w:line="240" w:lineRule="auto"/>
              <w:ind w:firstLine="0" w:firstLineChars="0"/>
              <w:jc w:val="center"/>
              <w:textAlignment w:val="center"/>
              <w:rPr>
                <w:rFonts w:cs="Arial"/>
                <w:color w:val="000000"/>
                <w:sz w:val="22"/>
                <w:szCs w:val="21"/>
              </w:rPr>
            </w:pPr>
            <w:r>
              <w:rPr>
                <w:rFonts w:hint="eastAsia" w:cs="Arial"/>
                <w:color w:val="000000"/>
                <w:kern w:val="0"/>
                <w:sz w:val="22"/>
                <w:szCs w:val="21"/>
                <w:lang w:bidi="ar"/>
              </w:rPr>
              <w:t>4.8262</w:t>
            </w:r>
          </w:p>
        </w:tc>
        <w:tc>
          <w:tcPr>
            <w:tcW w:w="0" w:type="auto"/>
            <w:shd w:val="clear" w:color="auto" w:fill="auto"/>
            <w:noWrap/>
            <w:vAlign w:val="center"/>
          </w:tcPr>
          <w:p>
            <w:pPr>
              <w:widowControl/>
              <w:spacing w:line="240" w:lineRule="auto"/>
              <w:ind w:firstLine="0" w:firstLineChars="0"/>
              <w:jc w:val="center"/>
              <w:textAlignment w:val="center"/>
              <w:rPr>
                <w:rFonts w:cs="Arial"/>
                <w:color w:val="000000"/>
                <w:sz w:val="22"/>
                <w:szCs w:val="21"/>
              </w:rPr>
            </w:pPr>
            <w:r>
              <w:rPr>
                <w:rFonts w:hint="eastAsia" w:cs="Arial"/>
                <w:color w:val="000000"/>
                <w:sz w:val="22"/>
                <w:szCs w:val="21"/>
              </w:rPr>
              <w:t>4.8262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Merge w:val="continue"/>
            <w:shd w:val="clear" w:color="auto" w:fill="auto"/>
            <w:vAlign w:val="center"/>
          </w:tcPr>
          <w:p>
            <w:pPr>
              <w:widowControl/>
              <w:spacing w:line="240" w:lineRule="auto"/>
              <w:ind w:firstLine="0" w:firstLineChars="0"/>
              <w:jc w:val="center"/>
              <w:textAlignment w:val="center"/>
              <w:rPr>
                <w:rFonts w:cs="Arial"/>
                <w:color w:val="000000"/>
                <w:kern w:val="0"/>
                <w:sz w:val="22"/>
                <w:szCs w:val="21"/>
                <w:lang w:bidi="ar"/>
              </w:rPr>
            </w:pPr>
          </w:p>
        </w:tc>
        <w:tc>
          <w:tcPr>
            <w:tcW w:w="0" w:type="auto"/>
            <w:shd w:val="clear" w:color="auto" w:fill="auto"/>
            <w:vAlign w:val="center"/>
          </w:tcPr>
          <w:p>
            <w:pPr>
              <w:widowControl/>
              <w:spacing w:line="240" w:lineRule="auto"/>
              <w:ind w:firstLine="0" w:firstLineChars="0"/>
              <w:jc w:val="center"/>
              <w:textAlignment w:val="center"/>
              <w:rPr>
                <w:rFonts w:cs="宋体"/>
                <w:color w:val="000000"/>
                <w:kern w:val="0"/>
                <w:sz w:val="22"/>
                <w:szCs w:val="21"/>
                <w:lang w:bidi="ar"/>
              </w:rPr>
            </w:pPr>
            <w:r>
              <w:rPr>
                <w:rFonts w:hint="eastAsia" w:cs="宋体"/>
                <w:color w:val="000000"/>
                <w:kern w:val="0"/>
                <w:sz w:val="22"/>
                <w:szCs w:val="21"/>
                <w:lang w:bidi="ar"/>
              </w:rPr>
              <w:t>东源县仙塘镇电商基地建设项目</w:t>
            </w:r>
          </w:p>
        </w:tc>
        <w:tc>
          <w:tcPr>
            <w:tcW w:w="0" w:type="auto"/>
            <w:shd w:val="clear" w:color="auto" w:fill="auto"/>
            <w:noWrap/>
            <w:vAlign w:val="center"/>
          </w:tcPr>
          <w:p>
            <w:pPr>
              <w:widowControl/>
              <w:spacing w:line="240" w:lineRule="auto"/>
              <w:ind w:firstLine="0" w:firstLineChars="0"/>
              <w:jc w:val="center"/>
              <w:textAlignment w:val="center"/>
              <w:rPr>
                <w:rFonts w:cs="Arial"/>
                <w:color w:val="000000"/>
                <w:kern w:val="0"/>
                <w:sz w:val="22"/>
                <w:szCs w:val="21"/>
                <w:lang w:bidi="ar"/>
              </w:rPr>
            </w:pPr>
            <w:r>
              <w:rPr>
                <w:rFonts w:hint="eastAsia" w:cs="Arial"/>
                <w:color w:val="000000"/>
                <w:kern w:val="0"/>
                <w:sz w:val="22"/>
                <w:szCs w:val="21"/>
                <w:lang w:bidi="ar"/>
              </w:rPr>
              <w:t>2.6730</w:t>
            </w:r>
          </w:p>
        </w:tc>
        <w:tc>
          <w:tcPr>
            <w:tcW w:w="0" w:type="auto"/>
            <w:shd w:val="clear" w:color="auto" w:fill="auto"/>
            <w:noWrap/>
            <w:vAlign w:val="center"/>
          </w:tcPr>
          <w:p>
            <w:pPr>
              <w:widowControl/>
              <w:spacing w:line="240" w:lineRule="auto"/>
              <w:ind w:firstLine="0" w:firstLineChars="0"/>
              <w:jc w:val="center"/>
              <w:textAlignment w:val="center"/>
              <w:rPr>
                <w:rFonts w:cs="Arial"/>
                <w:color w:val="000000"/>
                <w:kern w:val="0"/>
                <w:sz w:val="22"/>
                <w:szCs w:val="21"/>
                <w:lang w:bidi="ar"/>
              </w:rPr>
            </w:pPr>
            <w:r>
              <w:rPr>
                <w:rFonts w:hint="eastAsia" w:cs="Arial"/>
                <w:color w:val="000000"/>
                <w:kern w:val="0"/>
                <w:sz w:val="22"/>
                <w:szCs w:val="21"/>
                <w:lang w:bidi="ar"/>
              </w:rPr>
              <w:t>0</w:t>
            </w:r>
          </w:p>
        </w:tc>
        <w:tc>
          <w:tcPr>
            <w:tcW w:w="0" w:type="auto"/>
            <w:shd w:val="clear" w:color="auto" w:fill="auto"/>
            <w:noWrap/>
            <w:vAlign w:val="center"/>
          </w:tcPr>
          <w:p>
            <w:pPr>
              <w:widowControl/>
              <w:spacing w:line="240" w:lineRule="auto"/>
              <w:ind w:firstLine="0" w:firstLineChars="0"/>
              <w:jc w:val="center"/>
              <w:textAlignment w:val="center"/>
              <w:rPr>
                <w:rFonts w:cs="Arial"/>
                <w:color w:val="000000"/>
                <w:kern w:val="0"/>
                <w:sz w:val="22"/>
                <w:szCs w:val="21"/>
                <w:lang w:bidi="ar"/>
              </w:rPr>
            </w:pPr>
            <w:r>
              <w:rPr>
                <w:rFonts w:hint="eastAsia" w:cs="Arial"/>
                <w:color w:val="000000"/>
                <w:kern w:val="0"/>
                <w:sz w:val="22"/>
                <w:szCs w:val="21"/>
                <w:lang w:bidi="ar"/>
              </w:rPr>
              <w:t>2.6730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Merge w:val="continue"/>
            <w:shd w:val="clear" w:color="auto" w:fill="auto"/>
            <w:vAlign w:val="center"/>
          </w:tcPr>
          <w:p>
            <w:pPr>
              <w:widowControl/>
              <w:spacing w:line="240" w:lineRule="auto"/>
              <w:ind w:firstLine="0" w:firstLineChars="0"/>
              <w:jc w:val="center"/>
              <w:textAlignment w:val="center"/>
              <w:rPr>
                <w:rFonts w:cs="Arial"/>
                <w:color w:val="000000"/>
                <w:kern w:val="0"/>
                <w:sz w:val="22"/>
                <w:szCs w:val="21"/>
                <w:lang w:bidi="ar"/>
              </w:rPr>
            </w:pPr>
          </w:p>
        </w:tc>
        <w:tc>
          <w:tcPr>
            <w:tcW w:w="0" w:type="auto"/>
            <w:shd w:val="clear" w:color="auto" w:fill="auto"/>
            <w:vAlign w:val="center"/>
          </w:tcPr>
          <w:p>
            <w:pPr>
              <w:widowControl/>
              <w:spacing w:line="240" w:lineRule="auto"/>
              <w:ind w:firstLine="0" w:firstLineChars="0"/>
              <w:jc w:val="center"/>
              <w:textAlignment w:val="center"/>
              <w:rPr>
                <w:rFonts w:cs="宋体"/>
                <w:color w:val="000000"/>
                <w:kern w:val="0"/>
                <w:sz w:val="22"/>
                <w:szCs w:val="21"/>
                <w:lang w:bidi="ar"/>
              </w:rPr>
            </w:pPr>
            <w:r>
              <w:rPr>
                <w:rFonts w:hint="eastAsia" w:cs="宋体"/>
                <w:color w:val="000000"/>
                <w:kern w:val="0"/>
                <w:sz w:val="22"/>
                <w:szCs w:val="21"/>
                <w:lang w:bidi="ar"/>
              </w:rPr>
              <w:t>东源县仙塘镇零配件制造科技园建设项目</w:t>
            </w:r>
          </w:p>
        </w:tc>
        <w:tc>
          <w:tcPr>
            <w:tcW w:w="0" w:type="auto"/>
            <w:shd w:val="clear" w:color="auto" w:fill="auto"/>
            <w:noWrap/>
            <w:vAlign w:val="center"/>
          </w:tcPr>
          <w:p>
            <w:pPr>
              <w:widowControl/>
              <w:spacing w:line="240" w:lineRule="auto"/>
              <w:ind w:firstLine="0" w:firstLineChars="0"/>
              <w:jc w:val="center"/>
              <w:textAlignment w:val="center"/>
              <w:rPr>
                <w:rFonts w:cs="Arial"/>
                <w:color w:val="000000"/>
                <w:kern w:val="0"/>
                <w:sz w:val="22"/>
                <w:szCs w:val="21"/>
                <w:lang w:bidi="ar"/>
              </w:rPr>
            </w:pPr>
            <w:r>
              <w:rPr>
                <w:rFonts w:hint="eastAsia" w:cs="Arial"/>
                <w:color w:val="000000"/>
                <w:kern w:val="0"/>
                <w:sz w:val="22"/>
                <w:szCs w:val="21"/>
                <w:lang w:bidi="ar"/>
              </w:rPr>
              <w:t>0</w:t>
            </w:r>
          </w:p>
        </w:tc>
        <w:tc>
          <w:tcPr>
            <w:tcW w:w="0" w:type="auto"/>
            <w:shd w:val="clear" w:color="auto" w:fill="auto"/>
            <w:noWrap/>
            <w:vAlign w:val="center"/>
          </w:tcPr>
          <w:p>
            <w:pPr>
              <w:widowControl/>
              <w:spacing w:line="240" w:lineRule="auto"/>
              <w:ind w:firstLine="0" w:firstLineChars="0"/>
              <w:jc w:val="center"/>
              <w:textAlignment w:val="center"/>
              <w:rPr>
                <w:rFonts w:cs="Arial"/>
                <w:color w:val="000000"/>
                <w:kern w:val="0"/>
                <w:sz w:val="22"/>
                <w:szCs w:val="21"/>
                <w:lang w:bidi="ar"/>
              </w:rPr>
            </w:pPr>
            <w:r>
              <w:rPr>
                <w:rFonts w:hint="eastAsia" w:cs="Arial"/>
                <w:color w:val="000000"/>
                <w:kern w:val="0"/>
                <w:sz w:val="22"/>
                <w:szCs w:val="21"/>
                <w:lang w:bidi="ar"/>
              </w:rPr>
              <w:t>1.9309</w:t>
            </w:r>
          </w:p>
        </w:tc>
        <w:tc>
          <w:tcPr>
            <w:tcW w:w="0" w:type="auto"/>
            <w:shd w:val="clear" w:color="auto" w:fill="auto"/>
            <w:noWrap/>
            <w:vAlign w:val="center"/>
          </w:tcPr>
          <w:p>
            <w:pPr>
              <w:widowControl/>
              <w:spacing w:line="240" w:lineRule="auto"/>
              <w:ind w:firstLine="0" w:firstLineChars="0"/>
              <w:jc w:val="center"/>
              <w:textAlignment w:val="center"/>
              <w:rPr>
                <w:rFonts w:cs="Arial"/>
                <w:color w:val="000000"/>
                <w:kern w:val="0"/>
                <w:sz w:val="22"/>
                <w:szCs w:val="21"/>
                <w:lang w:bidi="ar"/>
              </w:rPr>
            </w:pPr>
            <w:r>
              <w:rPr>
                <w:rFonts w:hint="eastAsia" w:cs="Arial"/>
                <w:color w:val="000000"/>
                <w:kern w:val="0"/>
                <w:sz w:val="22"/>
                <w:szCs w:val="21"/>
                <w:lang w:bidi="ar"/>
              </w:rPr>
              <w:t>1.9309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Merge w:val="continue"/>
            <w:shd w:val="clear" w:color="auto" w:fill="auto"/>
            <w:vAlign w:val="center"/>
          </w:tcPr>
          <w:p>
            <w:pPr>
              <w:widowControl/>
              <w:spacing w:line="240" w:lineRule="auto"/>
              <w:ind w:firstLine="0" w:firstLineChars="0"/>
              <w:jc w:val="center"/>
              <w:textAlignment w:val="center"/>
              <w:rPr>
                <w:rFonts w:cs="Arial"/>
                <w:color w:val="000000"/>
                <w:kern w:val="0"/>
                <w:sz w:val="22"/>
                <w:szCs w:val="21"/>
                <w:lang w:bidi="ar"/>
              </w:rPr>
            </w:pPr>
          </w:p>
        </w:tc>
        <w:tc>
          <w:tcPr>
            <w:tcW w:w="0" w:type="auto"/>
            <w:shd w:val="clear" w:color="auto" w:fill="auto"/>
            <w:vAlign w:val="center"/>
          </w:tcPr>
          <w:p>
            <w:pPr>
              <w:widowControl/>
              <w:spacing w:line="240" w:lineRule="auto"/>
              <w:ind w:firstLine="0" w:firstLineChars="0"/>
              <w:jc w:val="center"/>
              <w:textAlignment w:val="center"/>
              <w:rPr>
                <w:rFonts w:cs="宋体"/>
                <w:color w:val="000000"/>
                <w:kern w:val="0"/>
                <w:sz w:val="22"/>
                <w:szCs w:val="21"/>
                <w:lang w:bidi="ar"/>
              </w:rPr>
            </w:pPr>
            <w:r>
              <w:rPr>
                <w:rFonts w:hint="eastAsia" w:cs="宋体"/>
                <w:color w:val="000000"/>
                <w:kern w:val="0"/>
                <w:sz w:val="22"/>
                <w:szCs w:val="21"/>
                <w:lang w:bidi="ar"/>
              </w:rPr>
              <w:t>东源县仙塘镇建筑模架铝合金产品建设项目</w:t>
            </w:r>
          </w:p>
        </w:tc>
        <w:tc>
          <w:tcPr>
            <w:tcW w:w="0" w:type="auto"/>
            <w:shd w:val="clear" w:color="auto" w:fill="auto"/>
            <w:noWrap/>
            <w:vAlign w:val="center"/>
          </w:tcPr>
          <w:p>
            <w:pPr>
              <w:widowControl/>
              <w:spacing w:line="240" w:lineRule="auto"/>
              <w:ind w:firstLine="0" w:firstLineChars="0"/>
              <w:jc w:val="center"/>
              <w:textAlignment w:val="center"/>
              <w:rPr>
                <w:rFonts w:cs="Arial"/>
                <w:color w:val="000000"/>
                <w:kern w:val="0"/>
                <w:sz w:val="22"/>
                <w:szCs w:val="21"/>
                <w:lang w:bidi="ar"/>
              </w:rPr>
            </w:pPr>
            <w:r>
              <w:rPr>
                <w:rFonts w:hint="eastAsia" w:cs="Arial"/>
                <w:color w:val="000000"/>
                <w:kern w:val="0"/>
                <w:sz w:val="22"/>
                <w:szCs w:val="21"/>
                <w:lang w:bidi="ar"/>
              </w:rPr>
              <w:t>3.2328</w:t>
            </w:r>
          </w:p>
        </w:tc>
        <w:tc>
          <w:tcPr>
            <w:tcW w:w="0" w:type="auto"/>
            <w:shd w:val="clear" w:color="auto" w:fill="auto"/>
            <w:noWrap/>
            <w:vAlign w:val="center"/>
          </w:tcPr>
          <w:p>
            <w:pPr>
              <w:widowControl/>
              <w:spacing w:line="240" w:lineRule="auto"/>
              <w:ind w:firstLine="0" w:firstLineChars="0"/>
              <w:jc w:val="center"/>
              <w:textAlignment w:val="center"/>
              <w:rPr>
                <w:rFonts w:cs="Arial"/>
                <w:color w:val="000000"/>
                <w:kern w:val="0"/>
                <w:sz w:val="22"/>
                <w:szCs w:val="21"/>
                <w:lang w:bidi="ar"/>
              </w:rPr>
            </w:pPr>
            <w:r>
              <w:rPr>
                <w:rFonts w:hint="eastAsia" w:cs="Arial"/>
                <w:color w:val="000000"/>
                <w:kern w:val="0"/>
                <w:sz w:val="22"/>
                <w:szCs w:val="21"/>
                <w:lang w:bidi="ar"/>
              </w:rPr>
              <w:t>0</w:t>
            </w:r>
          </w:p>
        </w:tc>
        <w:tc>
          <w:tcPr>
            <w:tcW w:w="0" w:type="auto"/>
            <w:shd w:val="clear" w:color="auto" w:fill="auto"/>
            <w:noWrap/>
            <w:vAlign w:val="center"/>
          </w:tcPr>
          <w:p>
            <w:pPr>
              <w:widowControl/>
              <w:spacing w:line="240" w:lineRule="auto"/>
              <w:ind w:firstLine="0" w:firstLineChars="0"/>
              <w:jc w:val="center"/>
              <w:textAlignment w:val="center"/>
              <w:rPr>
                <w:rFonts w:cs="Arial"/>
                <w:color w:val="000000"/>
                <w:kern w:val="0"/>
                <w:sz w:val="22"/>
                <w:szCs w:val="21"/>
                <w:lang w:bidi="ar"/>
              </w:rPr>
            </w:pPr>
            <w:r>
              <w:rPr>
                <w:rFonts w:hint="eastAsia" w:cs="Arial"/>
                <w:color w:val="000000"/>
                <w:kern w:val="0"/>
                <w:sz w:val="22"/>
                <w:szCs w:val="21"/>
                <w:lang w:bidi="ar"/>
              </w:rPr>
              <w:t>3.2328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Merge w:val="continue"/>
            <w:shd w:val="clear" w:color="auto" w:fill="auto"/>
            <w:vAlign w:val="center"/>
          </w:tcPr>
          <w:p>
            <w:pPr>
              <w:widowControl/>
              <w:spacing w:line="240" w:lineRule="auto"/>
              <w:ind w:firstLine="0" w:firstLineChars="0"/>
              <w:jc w:val="center"/>
              <w:textAlignment w:val="center"/>
              <w:rPr>
                <w:rFonts w:cs="Arial"/>
                <w:color w:val="000000"/>
                <w:kern w:val="0"/>
                <w:sz w:val="22"/>
                <w:szCs w:val="21"/>
                <w:lang w:bidi="ar"/>
              </w:rPr>
            </w:pPr>
          </w:p>
        </w:tc>
        <w:tc>
          <w:tcPr>
            <w:tcW w:w="0" w:type="auto"/>
            <w:shd w:val="clear" w:color="auto" w:fill="auto"/>
            <w:vAlign w:val="center"/>
          </w:tcPr>
          <w:p>
            <w:pPr>
              <w:widowControl/>
              <w:spacing w:line="240" w:lineRule="auto"/>
              <w:ind w:firstLine="0" w:firstLineChars="0"/>
              <w:jc w:val="center"/>
              <w:textAlignment w:val="center"/>
              <w:rPr>
                <w:rFonts w:cs="宋体"/>
                <w:color w:val="000000"/>
                <w:kern w:val="0"/>
                <w:sz w:val="22"/>
                <w:szCs w:val="21"/>
                <w:lang w:bidi="ar"/>
              </w:rPr>
            </w:pPr>
            <w:r>
              <w:rPr>
                <w:rFonts w:hint="eastAsia" w:cs="宋体"/>
                <w:color w:val="000000"/>
                <w:kern w:val="0"/>
                <w:sz w:val="22"/>
                <w:szCs w:val="21"/>
                <w:lang w:bidi="ar"/>
              </w:rPr>
              <w:t>东源县新材料产业基础设施建设项目</w:t>
            </w:r>
          </w:p>
        </w:tc>
        <w:tc>
          <w:tcPr>
            <w:tcW w:w="0" w:type="auto"/>
            <w:shd w:val="clear" w:color="auto" w:fill="auto"/>
            <w:noWrap/>
            <w:vAlign w:val="center"/>
          </w:tcPr>
          <w:p>
            <w:pPr>
              <w:widowControl/>
              <w:spacing w:line="240" w:lineRule="auto"/>
              <w:ind w:firstLine="0" w:firstLineChars="0"/>
              <w:jc w:val="center"/>
              <w:textAlignment w:val="center"/>
              <w:rPr>
                <w:rFonts w:cs="Arial"/>
                <w:color w:val="000000"/>
                <w:kern w:val="0"/>
                <w:sz w:val="22"/>
                <w:szCs w:val="21"/>
                <w:lang w:bidi="ar"/>
              </w:rPr>
            </w:pPr>
            <w:r>
              <w:rPr>
                <w:rFonts w:hint="eastAsia" w:cs="Arial"/>
                <w:color w:val="000000"/>
                <w:kern w:val="0"/>
                <w:sz w:val="22"/>
                <w:szCs w:val="21"/>
                <w:lang w:bidi="ar"/>
              </w:rPr>
              <w:t>0</w:t>
            </w:r>
          </w:p>
        </w:tc>
        <w:tc>
          <w:tcPr>
            <w:tcW w:w="0" w:type="auto"/>
            <w:shd w:val="clear" w:color="auto" w:fill="auto"/>
            <w:noWrap/>
            <w:vAlign w:val="center"/>
          </w:tcPr>
          <w:p>
            <w:pPr>
              <w:widowControl/>
              <w:spacing w:line="240" w:lineRule="auto"/>
              <w:ind w:firstLine="0" w:firstLineChars="0"/>
              <w:jc w:val="center"/>
              <w:textAlignment w:val="center"/>
              <w:rPr>
                <w:rFonts w:cs="Arial"/>
                <w:color w:val="000000"/>
                <w:kern w:val="0"/>
                <w:sz w:val="22"/>
                <w:szCs w:val="21"/>
                <w:lang w:bidi="ar"/>
              </w:rPr>
            </w:pPr>
            <w:r>
              <w:rPr>
                <w:rFonts w:hint="eastAsia" w:cs="Arial"/>
                <w:color w:val="000000"/>
                <w:kern w:val="0"/>
                <w:sz w:val="22"/>
                <w:szCs w:val="21"/>
                <w:lang w:bidi="ar"/>
              </w:rPr>
              <w:t>0.3764</w:t>
            </w:r>
          </w:p>
        </w:tc>
        <w:tc>
          <w:tcPr>
            <w:tcW w:w="0" w:type="auto"/>
            <w:shd w:val="clear" w:color="auto" w:fill="auto"/>
            <w:noWrap/>
            <w:vAlign w:val="center"/>
          </w:tcPr>
          <w:p>
            <w:pPr>
              <w:widowControl/>
              <w:spacing w:line="240" w:lineRule="auto"/>
              <w:ind w:firstLine="0" w:firstLineChars="0"/>
              <w:jc w:val="center"/>
              <w:textAlignment w:val="center"/>
              <w:rPr>
                <w:rFonts w:cs="Arial"/>
                <w:color w:val="000000"/>
                <w:kern w:val="0"/>
                <w:sz w:val="22"/>
                <w:szCs w:val="21"/>
                <w:lang w:bidi="ar"/>
              </w:rPr>
            </w:pPr>
            <w:r>
              <w:rPr>
                <w:rFonts w:hint="eastAsia" w:cs="Arial"/>
                <w:color w:val="000000"/>
                <w:kern w:val="0"/>
                <w:sz w:val="22"/>
                <w:szCs w:val="21"/>
                <w:lang w:bidi="ar"/>
              </w:rPr>
              <w:t>0.3764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Merge w:val="continue"/>
            <w:shd w:val="clear" w:color="auto" w:fill="auto"/>
            <w:vAlign w:val="center"/>
          </w:tcPr>
          <w:p>
            <w:pPr>
              <w:widowControl/>
              <w:spacing w:line="240" w:lineRule="auto"/>
              <w:ind w:firstLine="0" w:firstLineChars="0"/>
              <w:jc w:val="center"/>
              <w:textAlignment w:val="center"/>
              <w:rPr>
                <w:rFonts w:cs="Arial"/>
                <w:color w:val="000000"/>
                <w:kern w:val="0"/>
                <w:sz w:val="22"/>
                <w:szCs w:val="21"/>
                <w:lang w:bidi="ar"/>
              </w:rPr>
            </w:pPr>
          </w:p>
        </w:tc>
        <w:tc>
          <w:tcPr>
            <w:tcW w:w="0" w:type="auto"/>
            <w:shd w:val="clear" w:color="auto" w:fill="auto"/>
            <w:vAlign w:val="center"/>
          </w:tcPr>
          <w:p>
            <w:pPr>
              <w:widowControl/>
              <w:spacing w:line="240" w:lineRule="auto"/>
              <w:ind w:firstLine="0" w:firstLineChars="0"/>
              <w:jc w:val="center"/>
              <w:textAlignment w:val="center"/>
              <w:rPr>
                <w:rFonts w:cs="宋体"/>
                <w:color w:val="000000"/>
                <w:kern w:val="0"/>
                <w:sz w:val="22"/>
                <w:szCs w:val="21"/>
                <w:lang w:bidi="ar"/>
              </w:rPr>
            </w:pPr>
            <w:r>
              <w:rPr>
                <w:rFonts w:hint="eastAsia" w:cs="宋体"/>
                <w:color w:val="000000"/>
                <w:kern w:val="0"/>
                <w:sz w:val="22"/>
                <w:szCs w:val="21"/>
                <w:lang w:bidi="ar"/>
              </w:rPr>
              <w:t>深圳盐田（东源）产业转移工业园（三期）</w:t>
            </w:r>
          </w:p>
          <w:p>
            <w:pPr>
              <w:widowControl/>
              <w:spacing w:line="240" w:lineRule="auto"/>
              <w:ind w:firstLine="0" w:firstLineChars="0"/>
              <w:jc w:val="center"/>
              <w:textAlignment w:val="center"/>
              <w:rPr>
                <w:rFonts w:cs="宋体"/>
                <w:color w:val="000000"/>
                <w:kern w:val="0"/>
                <w:sz w:val="22"/>
                <w:szCs w:val="21"/>
                <w:lang w:bidi="ar"/>
              </w:rPr>
            </w:pPr>
            <w:r>
              <w:rPr>
                <w:rFonts w:hint="eastAsia" w:cs="宋体"/>
                <w:color w:val="000000"/>
                <w:kern w:val="0"/>
                <w:sz w:val="22"/>
                <w:szCs w:val="21"/>
                <w:lang w:bidi="ar"/>
              </w:rPr>
              <w:t>启动区基础设施建设项目</w:t>
            </w:r>
          </w:p>
        </w:tc>
        <w:tc>
          <w:tcPr>
            <w:tcW w:w="0" w:type="auto"/>
            <w:shd w:val="clear" w:color="auto" w:fill="auto"/>
            <w:noWrap/>
            <w:vAlign w:val="center"/>
          </w:tcPr>
          <w:p>
            <w:pPr>
              <w:widowControl/>
              <w:spacing w:line="240" w:lineRule="auto"/>
              <w:ind w:firstLine="0" w:firstLineChars="0"/>
              <w:jc w:val="center"/>
              <w:textAlignment w:val="center"/>
              <w:rPr>
                <w:rFonts w:cs="Arial"/>
                <w:color w:val="000000"/>
                <w:kern w:val="0"/>
                <w:sz w:val="22"/>
                <w:szCs w:val="21"/>
                <w:lang w:bidi="ar"/>
              </w:rPr>
            </w:pPr>
            <w:r>
              <w:rPr>
                <w:rFonts w:hint="eastAsia" w:cs="Arial"/>
                <w:color w:val="000000"/>
                <w:kern w:val="0"/>
                <w:sz w:val="22"/>
                <w:szCs w:val="21"/>
                <w:lang w:bidi="ar"/>
              </w:rPr>
              <w:t>0</w:t>
            </w:r>
          </w:p>
        </w:tc>
        <w:tc>
          <w:tcPr>
            <w:tcW w:w="0" w:type="auto"/>
            <w:shd w:val="clear" w:color="auto" w:fill="auto"/>
            <w:noWrap/>
            <w:vAlign w:val="center"/>
          </w:tcPr>
          <w:p>
            <w:pPr>
              <w:widowControl/>
              <w:spacing w:line="240" w:lineRule="auto"/>
              <w:ind w:firstLine="0" w:firstLineChars="0"/>
              <w:jc w:val="center"/>
              <w:textAlignment w:val="center"/>
              <w:rPr>
                <w:rFonts w:cs="Arial"/>
                <w:color w:val="000000"/>
                <w:kern w:val="0"/>
                <w:sz w:val="22"/>
                <w:szCs w:val="21"/>
                <w:lang w:bidi="ar"/>
              </w:rPr>
            </w:pPr>
            <w:r>
              <w:rPr>
                <w:rFonts w:hint="eastAsia" w:cs="Arial"/>
                <w:color w:val="000000"/>
                <w:kern w:val="0"/>
                <w:sz w:val="22"/>
                <w:szCs w:val="21"/>
                <w:lang w:bidi="ar"/>
              </w:rPr>
              <w:t>48.7399</w:t>
            </w:r>
          </w:p>
        </w:tc>
        <w:tc>
          <w:tcPr>
            <w:tcW w:w="0" w:type="auto"/>
            <w:shd w:val="clear" w:color="auto" w:fill="auto"/>
            <w:noWrap/>
            <w:vAlign w:val="center"/>
          </w:tcPr>
          <w:p>
            <w:pPr>
              <w:widowControl/>
              <w:spacing w:line="240" w:lineRule="auto"/>
              <w:ind w:firstLine="0" w:firstLineChars="0"/>
              <w:jc w:val="center"/>
              <w:textAlignment w:val="center"/>
              <w:rPr>
                <w:rFonts w:cs="Arial"/>
                <w:color w:val="000000"/>
                <w:kern w:val="0"/>
                <w:sz w:val="22"/>
                <w:szCs w:val="21"/>
                <w:lang w:bidi="ar"/>
              </w:rPr>
            </w:pPr>
            <w:r>
              <w:rPr>
                <w:rFonts w:hint="eastAsia" w:cs="Arial"/>
                <w:color w:val="000000"/>
                <w:kern w:val="0"/>
                <w:sz w:val="22"/>
                <w:szCs w:val="21"/>
                <w:lang w:bidi="ar"/>
              </w:rPr>
              <w:t>48.7399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Merge w:val="restart"/>
            <w:shd w:val="clear" w:color="auto" w:fill="auto"/>
            <w:vAlign w:val="center"/>
          </w:tcPr>
          <w:p>
            <w:pPr>
              <w:widowControl/>
              <w:spacing w:line="240" w:lineRule="auto"/>
              <w:ind w:firstLine="0" w:firstLineChars="0"/>
              <w:jc w:val="center"/>
              <w:textAlignment w:val="center"/>
              <w:rPr>
                <w:rFonts w:cs="Arial"/>
                <w:color w:val="000000"/>
                <w:kern w:val="0"/>
                <w:sz w:val="22"/>
                <w:szCs w:val="21"/>
                <w:lang w:bidi="ar"/>
              </w:rPr>
            </w:pPr>
            <w:r>
              <w:rPr>
                <w:rFonts w:hint="eastAsia" w:cs="Arial"/>
                <w:color w:val="000000"/>
                <w:kern w:val="0"/>
                <w:sz w:val="22"/>
                <w:szCs w:val="21"/>
                <w:lang w:bidi="ar"/>
              </w:rPr>
              <w:t>灯塔片区</w:t>
            </w:r>
          </w:p>
        </w:tc>
        <w:tc>
          <w:tcPr>
            <w:tcW w:w="0" w:type="auto"/>
            <w:shd w:val="clear" w:color="auto" w:fill="auto"/>
            <w:vAlign w:val="center"/>
          </w:tcPr>
          <w:p>
            <w:pPr>
              <w:widowControl/>
              <w:spacing w:line="240" w:lineRule="auto"/>
              <w:ind w:firstLine="0" w:firstLineChars="0"/>
              <w:jc w:val="center"/>
              <w:textAlignment w:val="center"/>
              <w:rPr>
                <w:rFonts w:cs="宋体"/>
                <w:color w:val="000000"/>
                <w:kern w:val="0"/>
                <w:sz w:val="22"/>
                <w:szCs w:val="21"/>
                <w:lang w:bidi="ar"/>
              </w:rPr>
            </w:pPr>
            <w:r>
              <w:rPr>
                <w:rFonts w:hint="eastAsia" w:cs="宋体"/>
                <w:color w:val="000000"/>
                <w:kern w:val="0"/>
                <w:sz w:val="22"/>
                <w:szCs w:val="21"/>
                <w:lang w:bidi="ar"/>
              </w:rPr>
              <w:t>东源县灯塔镇商品混凝土搅拌站建设项目</w:t>
            </w:r>
          </w:p>
        </w:tc>
        <w:tc>
          <w:tcPr>
            <w:tcW w:w="0" w:type="auto"/>
            <w:shd w:val="clear" w:color="auto" w:fill="auto"/>
            <w:noWrap/>
            <w:vAlign w:val="center"/>
          </w:tcPr>
          <w:p>
            <w:pPr>
              <w:widowControl/>
              <w:spacing w:line="240" w:lineRule="auto"/>
              <w:ind w:firstLine="0" w:firstLineChars="0"/>
              <w:jc w:val="center"/>
              <w:textAlignment w:val="center"/>
              <w:rPr>
                <w:rFonts w:cs="Arial"/>
                <w:color w:val="000000"/>
                <w:kern w:val="0"/>
                <w:sz w:val="22"/>
                <w:szCs w:val="21"/>
                <w:lang w:bidi="ar"/>
              </w:rPr>
            </w:pPr>
            <w:r>
              <w:rPr>
                <w:rFonts w:hint="eastAsia" w:cs="Arial"/>
                <w:color w:val="000000"/>
                <w:kern w:val="0"/>
                <w:sz w:val="22"/>
                <w:szCs w:val="21"/>
                <w:lang w:bidi="ar"/>
              </w:rPr>
              <w:t>1.7886</w:t>
            </w:r>
          </w:p>
        </w:tc>
        <w:tc>
          <w:tcPr>
            <w:tcW w:w="0" w:type="auto"/>
            <w:shd w:val="clear" w:color="auto" w:fill="auto"/>
            <w:noWrap/>
            <w:vAlign w:val="center"/>
          </w:tcPr>
          <w:p>
            <w:pPr>
              <w:widowControl/>
              <w:spacing w:line="240" w:lineRule="auto"/>
              <w:ind w:firstLine="0" w:firstLineChars="0"/>
              <w:jc w:val="center"/>
              <w:textAlignment w:val="center"/>
              <w:rPr>
                <w:rFonts w:cs="Arial"/>
                <w:color w:val="000000"/>
                <w:kern w:val="0"/>
                <w:sz w:val="22"/>
                <w:szCs w:val="21"/>
                <w:lang w:bidi="ar"/>
              </w:rPr>
            </w:pPr>
            <w:r>
              <w:rPr>
                <w:rFonts w:hint="eastAsia" w:cs="Arial"/>
                <w:color w:val="000000"/>
                <w:kern w:val="0"/>
                <w:sz w:val="22"/>
                <w:szCs w:val="21"/>
                <w:lang w:bidi="ar"/>
              </w:rPr>
              <w:t>0</w:t>
            </w:r>
          </w:p>
        </w:tc>
        <w:tc>
          <w:tcPr>
            <w:tcW w:w="0" w:type="auto"/>
            <w:shd w:val="clear" w:color="auto" w:fill="auto"/>
            <w:noWrap/>
            <w:vAlign w:val="center"/>
          </w:tcPr>
          <w:p>
            <w:pPr>
              <w:widowControl/>
              <w:spacing w:line="240" w:lineRule="auto"/>
              <w:ind w:firstLine="0" w:firstLineChars="0"/>
              <w:jc w:val="center"/>
              <w:textAlignment w:val="center"/>
              <w:rPr>
                <w:rFonts w:cs="Arial"/>
                <w:color w:val="000000"/>
                <w:kern w:val="0"/>
                <w:sz w:val="22"/>
                <w:szCs w:val="21"/>
                <w:lang w:bidi="ar"/>
              </w:rPr>
            </w:pPr>
            <w:r>
              <w:rPr>
                <w:rFonts w:hint="eastAsia" w:cs="Arial"/>
                <w:color w:val="000000"/>
                <w:kern w:val="0"/>
                <w:sz w:val="22"/>
                <w:szCs w:val="21"/>
                <w:lang w:bidi="ar"/>
              </w:rPr>
              <w:t>1.7886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Merge w:val="continue"/>
            <w:shd w:val="clear" w:color="auto" w:fill="auto"/>
            <w:vAlign w:val="center"/>
          </w:tcPr>
          <w:p>
            <w:pPr>
              <w:widowControl/>
              <w:spacing w:line="240" w:lineRule="auto"/>
              <w:ind w:firstLine="0" w:firstLineChars="0"/>
              <w:jc w:val="center"/>
              <w:textAlignment w:val="center"/>
              <w:rPr>
                <w:rFonts w:cs="Arial"/>
                <w:color w:val="000000"/>
                <w:kern w:val="0"/>
                <w:sz w:val="22"/>
                <w:szCs w:val="21"/>
                <w:lang w:bidi="ar"/>
              </w:rPr>
            </w:pPr>
          </w:p>
        </w:tc>
        <w:tc>
          <w:tcPr>
            <w:tcW w:w="0" w:type="auto"/>
            <w:shd w:val="clear" w:color="auto" w:fill="auto"/>
            <w:vAlign w:val="center"/>
          </w:tcPr>
          <w:p>
            <w:pPr>
              <w:widowControl/>
              <w:spacing w:line="240" w:lineRule="auto"/>
              <w:ind w:firstLine="0" w:firstLineChars="0"/>
              <w:jc w:val="center"/>
              <w:textAlignment w:val="center"/>
              <w:rPr>
                <w:rFonts w:cs="宋体"/>
                <w:color w:val="000000"/>
                <w:kern w:val="0"/>
                <w:sz w:val="22"/>
                <w:szCs w:val="21"/>
                <w:lang w:bidi="ar"/>
              </w:rPr>
            </w:pPr>
            <w:r>
              <w:rPr>
                <w:rFonts w:hint="eastAsia" w:cs="宋体"/>
                <w:color w:val="000000"/>
                <w:kern w:val="0"/>
                <w:sz w:val="22"/>
                <w:szCs w:val="21"/>
                <w:lang w:bidi="ar"/>
              </w:rPr>
              <w:t>东源县灯塔镇陶瓷厂建设项目</w:t>
            </w:r>
          </w:p>
        </w:tc>
        <w:tc>
          <w:tcPr>
            <w:tcW w:w="0" w:type="auto"/>
            <w:shd w:val="clear" w:color="auto" w:fill="auto"/>
            <w:noWrap/>
            <w:vAlign w:val="center"/>
          </w:tcPr>
          <w:p>
            <w:pPr>
              <w:widowControl/>
              <w:spacing w:line="240" w:lineRule="auto"/>
              <w:ind w:firstLine="0" w:firstLineChars="0"/>
              <w:jc w:val="center"/>
              <w:textAlignment w:val="center"/>
              <w:rPr>
                <w:rFonts w:cs="Arial"/>
                <w:color w:val="000000"/>
                <w:kern w:val="0"/>
                <w:sz w:val="22"/>
                <w:szCs w:val="21"/>
                <w:lang w:bidi="ar"/>
              </w:rPr>
            </w:pPr>
            <w:r>
              <w:rPr>
                <w:rFonts w:hint="eastAsia" w:cs="Arial"/>
                <w:color w:val="000000"/>
                <w:kern w:val="0"/>
                <w:sz w:val="22"/>
                <w:szCs w:val="21"/>
                <w:lang w:bidi="ar"/>
              </w:rPr>
              <w:t>0</w:t>
            </w:r>
          </w:p>
        </w:tc>
        <w:tc>
          <w:tcPr>
            <w:tcW w:w="0" w:type="auto"/>
            <w:shd w:val="clear" w:color="auto" w:fill="auto"/>
            <w:noWrap/>
            <w:vAlign w:val="center"/>
          </w:tcPr>
          <w:p>
            <w:pPr>
              <w:widowControl/>
              <w:spacing w:line="240" w:lineRule="auto"/>
              <w:ind w:firstLine="0" w:firstLineChars="0"/>
              <w:jc w:val="center"/>
              <w:textAlignment w:val="center"/>
              <w:rPr>
                <w:rFonts w:hint="eastAsia" w:eastAsia="仿宋_GB2312" w:cs="Arial"/>
                <w:color w:val="000000"/>
                <w:kern w:val="0"/>
                <w:sz w:val="22"/>
                <w:szCs w:val="21"/>
                <w:lang w:val="en-US" w:eastAsia="zh-CN" w:bidi="ar"/>
              </w:rPr>
            </w:pPr>
            <w:r>
              <w:rPr>
                <w:rFonts w:hint="eastAsia" w:cs="Arial"/>
                <w:color w:val="000000"/>
                <w:kern w:val="0"/>
                <w:sz w:val="22"/>
                <w:szCs w:val="21"/>
                <w:lang w:bidi="ar"/>
              </w:rPr>
              <w:t>3.923</w:t>
            </w:r>
            <w:r>
              <w:rPr>
                <w:rFonts w:hint="eastAsia" w:cs="Arial"/>
                <w:color w:val="000000"/>
                <w:kern w:val="0"/>
                <w:sz w:val="22"/>
                <w:szCs w:val="21"/>
                <w:lang w:val="en-US" w:eastAsia="zh-CN" w:bidi="ar"/>
              </w:rPr>
              <w:t>0</w:t>
            </w:r>
          </w:p>
        </w:tc>
        <w:tc>
          <w:tcPr>
            <w:tcW w:w="0" w:type="auto"/>
            <w:shd w:val="clear" w:color="auto" w:fill="auto"/>
            <w:noWrap/>
            <w:vAlign w:val="center"/>
          </w:tcPr>
          <w:p>
            <w:pPr>
              <w:widowControl/>
              <w:spacing w:line="240" w:lineRule="auto"/>
              <w:ind w:firstLine="0" w:firstLineChars="0"/>
              <w:jc w:val="center"/>
              <w:textAlignment w:val="center"/>
              <w:rPr>
                <w:rFonts w:hint="eastAsia" w:eastAsia="仿宋_GB2312" w:cs="Arial"/>
                <w:color w:val="000000"/>
                <w:kern w:val="0"/>
                <w:sz w:val="22"/>
                <w:szCs w:val="21"/>
                <w:lang w:val="en-US" w:eastAsia="zh-CN" w:bidi="ar"/>
              </w:rPr>
            </w:pPr>
            <w:r>
              <w:rPr>
                <w:rFonts w:hint="eastAsia" w:cs="Arial"/>
                <w:color w:val="000000"/>
                <w:kern w:val="0"/>
                <w:sz w:val="22"/>
                <w:szCs w:val="21"/>
                <w:lang w:bidi="ar"/>
              </w:rPr>
              <w:t>3.923</w:t>
            </w:r>
            <w:r>
              <w:rPr>
                <w:rFonts w:hint="eastAsia" w:cs="Arial"/>
                <w:color w:val="000000"/>
                <w:kern w:val="0"/>
                <w:sz w:val="22"/>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Merge w:val="restart"/>
            <w:shd w:val="clear" w:color="auto" w:fill="auto"/>
            <w:vAlign w:val="center"/>
          </w:tcPr>
          <w:p>
            <w:pPr>
              <w:widowControl/>
              <w:spacing w:line="240" w:lineRule="auto"/>
              <w:ind w:firstLine="0" w:firstLineChars="0"/>
              <w:jc w:val="center"/>
              <w:textAlignment w:val="center"/>
              <w:rPr>
                <w:rFonts w:cs="Arial"/>
                <w:color w:val="000000"/>
                <w:kern w:val="0"/>
                <w:sz w:val="22"/>
                <w:szCs w:val="21"/>
                <w:lang w:bidi="ar"/>
              </w:rPr>
            </w:pPr>
            <w:r>
              <w:rPr>
                <w:rFonts w:hint="eastAsia" w:cs="Arial"/>
                <w:color w:val="000000"/>
                <w:kern w:val="0"/>
                <w:sz w:val="22"/>
                <w:szCs w:val="21"/>
                <w:lang w:bidi="ar"/>
              </w:rPr>
              <w:t>骆湖片区</w:t>
            </w:r>
          </w:p>
        </w:tc>
        <w:tc>
          <w:tcPr>
            <w:tcW w:w="0" w:type="auto"/>
            <w:shd w:val="clear" w:color="auto" w:fill="auto"/>
            <w:vAlign w:val="center"/>
          </w:tcPr>
          <w:p>
            <w:pPr>
              <w:widowControl/>
              <w:spacing w:line="240" w:lineRule="auto"/>
              <w:ind w:firstLine="0" w:firstLineChars="0"/>
              <w:jc w:val="center"/>
              <w:textAlignment w:val="center"/>
              <w:rPr>
                <w:rFonts w:cs="宋体"/>
                <w:color w:val="000000"/>
                <w:kern w:val="0"/>
                <w:sz w:val="22"/>
                <w:szCs w:val="21"/>
                <w:lang w:bidi="ar"/>
              </w:rPr>
            </w:pPr>
            <w:r>
              <w:rPr>
                <w:rFonts w:hint="eastAsia" w:cs="宋体"/>
                <w:color w:val="000000"/>
                <w:kern w:val="0"/>
                <w:sz w:val="22"/>
                <w:szCs w:val="21"/>
                <w:lang w:bidi="ar"/>
              </w:rPr>
              <w:t>东源县骆湖镇商品混凝土建设项目</w:t>
            </w:r>
          </w:p>
        </w:tc>
        <w:tc>
          <w:tcPr>
            <w:tcW w:w="0" w:type="auto"/>
            <w:shd w:val="clear" w:color="auto" w:fill="auto"/>
            <w:noWrap/>
            <w:vAlign w:val="center"/>
          </w:tcPr>
          <w:p>
            <w:pPr>
              <w:widowControl/>
              <w:spacing w:line="240" w:lineRule="auto"/>
              <w:ind w:firstLine="0" w:firstLineChars="0"/>
              <w:jc w:val="center"/>
              <w:textAlignment w:val="center"/>
              <w:rPr>
                <w:rFonts w:cs="Arial"/>
                <w:color w:val="000000"/>
                <w:kern w:val="0"/>
                <w:sz w:val="22"/>
                <w:szCs w:val="21"/>
                <w:lang w:bidi="ar"/>
              </w:rPr>
            </w:pPr>
            <w:r>
              <w:rPr>
                <w:rFonts w:hint="eastAsia" w:cs="Arial"/>
                <w:color w:val="000000"/>
                <w:kern w:val="0"/>
                <w:sz w:val="22"/>
                <w:szCs w:val="21"/>
                <w:lang w:bidi="ar"/>
              </w:rPr>
              <w:t>0</w:t>
            </w:r>
          </w:p>
        </w:tc>
        <w:tc>
          <w:tcPr>
            <w:tcW w:w="0" w:type="auto"/>
            <w:shd w:val="clear" w:color="auto" w:fill="auto"/>
            <w:noWrap/>
            <w:vAlign w:val="center"/>
          </w:tcPr>
          <w:p>
            <w:pPr>
              <w:widowControl/>
              <w:spacing w:line="240" w:lineRule="auto"/>
              <w:ind w:firstLine="0" w:firstLineChars="0"/>
              <w:jc w:val="center"/>
              <w:textAlignment w:val="center"/>
              <w:rPr>
                <w:rFonts w:cs="Arial"/>
                <w:color w:val="000000"/>
                <w:kern w:val="0"/>
                <w:sz w:val="22"/>
                <w:szCs w:val="21"/>
                <w:lang w:bidi="ar"/>
              </w:rPr>
            </w:pPr>
            <w:r>
              <w:rPr>
                <w:rFonts w:hint="eastAsia" w:cs="Arial"/>
                <w:color w:val="000000"/>
                <w:kern w:val="0"/>
                <w:sz w:val="22"/>
                <w:szCs w:val="21"/>
                <w:lang w:bidi="ar"/>
              </w:rPr>
              <w:t>0.3867</w:t>
            </w:r>
          </w:p>
        </w:tc>
        <w:tc>
          <w:tcPr>
            <w:tcW w:w="0" w:type="auto"/>
            <w:shd w:val="clear" w:color="auto" w:fill="auto"/>
            <w:noWrap/>
            <w:vAlign w:val="center"/>
          </w:tcPr>
          <w:p>
            <w:pPr>
              <w:widowControl/>
              <w:spacing w:line="240" w:lineRule="auto"/>
              <w:ind w:firstLine="0" w:firstLineChars="0"/>
              <w:jc w:val="center"/>
              <w:textAlignment w:val="center"/>
              <w:rPr>
                <w:rFonts w:cs="Arial"/>
                <w:color w:val="000000"/>
                <w:kern w:val="0"/>
                <w:sz w:val="22"/>
                <w:szCs w:val="21"/>
                <w:lang w:bidi="ar"/>
              </w:rPr>
            </w:pPr>
            <w:r>
              <w:rPr>
                <w:rFonts w:hint="eastAsia" w:cs="Arial"/>
                <w:color w:val="000000"/>
                <w:kern w:val="0"/>
                <w:sz w:val="22"/>
                <w:szCs w:val="21"/>
                <w:lang w:bidi="ar"/>
              </w:rPr>
              <w:t>0.3867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Merge w:val="continue"/>
            <w:shd w:val="clear" w:color="auto" w:fill="auto"/>
            <w:vAlign w:val="center"/>
          </w:tcPr>
          <w:p>
            <w:pPr>
              <w:widowControl/>
              <w:spacing w:line="240" w:lineRule="auto"/>
              <w:ind w:firstLine="0" w:firstLineChars="0"/>
              <w:jc w:val="center"/>
              <w:textAlignment w:val="center"/>
              <w:rPr>
                <w:rFonts w:cs="Arial"/>
                <w:color w:val="000000"/>
                <w:kern w:val="0"/>
                <w:sz w:val="22"/>
                <w:szCs w:val="21"/>
                <w:lang w:bidi="ar"/>
              </w:rPr>
            </w:pPr>
          </w:p>
        </w:tc>
        <w:tc>
          <w:tcPr>
            <w:tcW w:w="0" w:type="auto"/>
            <w:shd w:val="clear" w:color="auto" w:fill="auto"/>
            <w:vAlign w:val="center"/>
          </w:tcPr>
          <w:p>
            <w:pPr>
              <w:widowControl/>
              <w:spacing w:line="240" w:lineRule="auto"/>
              <w:ind w:firstLine="0" w:firstLineChars="0"/>
              <w:jc w:val="center"/>
              <w:textAlignment w:val="center"/>
              <w:rPr>
                <w:rFonts w:cs="宋体"/>
                <w:color w:val="000000"/>
                <w:kern w:val="0"/>
                <w:sz w:val="22"/>
                <w:szCs w:val="21"/>
                <w:lang w:bidi="ar"/>
              </w:rPr>
            </w:pPr>
            <w:r>
              <w:rPr>
                <w:rFonts w:hint="eastAsia" w:cs="宋体"/>
                <w:color w:val="000000"/>
                <w:kern w:val="0"/>
                <w:sz w:val="22"/>
                <w:szCs w:val="21"/>
                <w:lang w:bidi="ar"/>
              </w:rPr>
              <w:t>东源县骆湖镇铸造件产品建设项目</w:t>
            </w:r>
          </w:p>
        </w:tc>
        <w:tc>
          <w:tcPr>
            <w:tcW w:w="0" w:type="auto"/>
            <w:shd w:val="clear" w:color="auto" w:fill="auto"/>
            <w:noWrap/>
            <w:vAlign w:val="center"/>
          </w:tcPr>
          <w:p>
            <w:pPr>
              <w:widowControl/>
              <w:spacing w:line="240" w:lineRule="auto"/>
              <w:ind w:firstLine="0" w:firstLineChars="0"/>
              <w:jc w:val="center"/>
              <w:textAlignment w:val="center"/>
              <w:rPr>
                <w:rFonts w:cs="Arial"/>
                <w:color w:val="000000"/>
                <w:sz w:val="22"/>
                <w:szCs w:val="21"/>
              </w:rPr>
            </w:pPr>
            <w:r>
              <w:rPr>
                <w:rFonts w:hint="eastAsia" w:cs="Arial"/>
                <w:color w:val="000000"/>
                <w:sz w:val="22"/>
                <w:szCs w:val="21"/>
              </w:rPr>
              <w:t>0</w:t>
            </w:r>
          </w:p>
        </w:tc>
        <w:tc>
          <w:tcPr>
            <w:tcW w:w="0" w:type="auto"/>
            <w:shd w:val="clear" w:color="auto" w:fill="auto"/>
            <w:noWrap/>
            <w:vAlign w:val="center"/>
          </w:tcPr>
          <w:p>
            <w:pPr>
              <w:widowControl/>
              <w:spacing w:line="240" w:lineRule="auto"/>
              <w:ind w:firstLine="0" w:firstLineChars="0"/>
              <w:jc w:val="center"/>
              <w:textAlignment w:val="center"/>
              <w:rPr>
                <w:rFonts w:hint="eastAsia" w:eastAsia="仿宋_GB2312" w:cs="Arial"/>
                <w:color w:val="000000"/>
                <w:kern w:val="0"/>
                <w:sz w:val="22"/>
                <w:szCs w:val="21"/>
                <w:lang w:val="en-US" w:eastAsia="zh-CN" w:bidi="ar"/>
              </w:rPr>
            </w:pPr>
            <w:r>
              <w:rPr>
                <w:rFonts w:hint="eastAsia" w:cs="Arial"/>
                <w:color w:val="000000"/>
                <w:kern w:val="0"/>
                <w:sz w:val="22"/>
                <w:szCs w:val="21"/>
                <w:lang w:bidi="ar"/>
              </w:rPr>
              <w:t>3.124</w:t>
            </w:r>
            <w:r>
              <w:rPr>
                <w:rFonts w:hint="eastAsia" w:cs="Arial"/>
                <w:color w:val="000000"/>
                <w:kern w:val="0"/>
                <w:sz w:val="22"/>
                <w:szCs w:val="21"/>
                <w:lang w:val="en-US" w:eastAsia="zh-CN" w:bidi="ar"/>
              </w:rPr>
              <w:t>8</w:t>
            </w:r>
          </w:p>
        </w:tc>
        <w:tc>
          <w:tcPr>
            <w:tcW w:w="0" w:type="auto"/>
            <w:shd w:val="clear" w:color="auto" w:fill="auto"/>
            <w:noWrap/>
            <w:vAlign w:val="center"/>
          </w:tcPr>
          <w:p>
            <w:pPr>
              <w:widowControl/>
              <w:spacing w:line="240" w:lineRule="auto"/>
              <w:ind w:firstLine="0" w:firstLineChars="0"/>
              <w:jc w:val="center"/>
              <w:textAlignment w:val="center"/>
              <w:rPr>
                <w:rFonts w:hint="eastAsia" w:eastAsia="仿宋_GB2312" w:cs="Arial"/>
                <w:color w:val="000000"/>
                <w:kern w:val="0"/>
                <w:sz w:val="22"/>
                <w:szCs w:val="21"/>
                <w:lang w:val="en-US" w:eastAsia="zh-CN" w:bidi="ar"/>
              </w:rPr>
            </w:pPr>
            <w:r>
              <w:rPr>
                <w:rFonts w:hint="eastAsia" w:cs="Arial"/>
                <w:color w:val="000000"/>
                <w:kern w:val="0"/>
                <w:sz w:val="22"/>
                <w:szCs w:val="21"/>
                <w:lang w:bidi="ar"/>
              </w:rPr>
              <w:t>3.124</w:t>
            </w:r>
            <w:r>
              <w:rPr>
                <w:rFonts w:hint="eastAsia" w:cs="Arial"/>
                <w:color w:val="000000"/>
                <w:kern w:val="0"/>
                <w:sz w:val="22"/>
                <w:szCs w:val="21"/>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Merge w:val="continue"/>
            <w:shd w:val="clear" w:color="auto" w:fill="auto"/>
            <w:vAlign w:val="center"/>
          </w:tcPr>
          <w:p>
            <w:pPr>
              <w:widowControl/>
              <w:spacing w:line="240" w:lineRule="auto"/>
              <w:ind w:firstLine="0" w:firstLineChars="0"/>
              <w:jc w:val="center"/>
              <w:textAlignment w:val="center"/>
              <w:rPr>
                <w:rFonts w:cs="Arial"/>
                <w:color w:val="000000"/>
                <w:kern w:val="0"/>
                <w:sz w:val="22"/>
                <w:szCs w:val="21"/>
                <w:lang w:bidi="ar"/>
              </w:rPr>
            </w:pPr>
          </w:p>
        </w:tc>
        <w:tc>
          <w:tcPr>
            <w:tcW w:w="0" w:type="auto"/>
            <w:shd w:val="clear" w:color="auto" w:fill="auto"/>
            <w:vAlign w:val="center"/>
          </w:tcPr>
          <w:p>
            <w:pPr>
              <w:widowControl/>
              <w:spacing w:line="240" w:lineRule="auto"/>
              <w:ind w:firstLine="0" w:firstLineChars="0"/>
              <w:jc w:val="center"/>
              <w:textAlignment w:val="center"/>
              <w:rPr>
                <w:rFonts w:cs="宋体"/>
                <w:color w:val="000000"/>
                <w:kern w:val="0"/>
                <w:sz w:val="22"/>
                <w:szCs w:val="21"/>
                <w:lang w:bidi="ar"/>
              </w:rPr>
            </w:pPr>
            <w:r>
              <w:rPr>
                <w:rFonts w:hint="eastAsia" w:cs="宋体"/>
                <w:color w:val="000000"/>
                <w:kern w:val="0"/>
                <w:sz w:val="22"/>
                <w:szCs w:val="21"/>
                <w:lang w:bidi="ar"/>
              </w:rPr>
              <w:t>东源县骆湖镇五金厂建设项目</w:t>
            </w:r>
          </w:p>
        </w:tc>
        <w:tc>
          <w:tcPr>
            <w:tcW w:w="0" w:type="auto"/>
            <w:shd w:val="clear" w:color="auto" w:fill="auto"/>
            <w:noWrap/>
            <w:vAlign w:val="center"/>
          </w:tcPr>
          <w:p>
            <w:pPr>
              <w:widowControl/>
              <w:spacing w:line="240" w:lineRule="auto"/>
              <w:ind w:firstLine="0" w:firstLineChars="0"/>
              <w:jc w:val="center"/>
              <w:textAlignment w:val="center"/>
              <w:rPr>
                <w:rFonts w:cs="Arial"/>
                <w:color w:val="000000"/>
                <w:sz w:val="22"/>
                <w:szCs w:val="21"/>
              </w:rPr>
            </w:pPr>
            <w:r>
              <w:rPr>
                <w:rFonts w:hint="eastAsia" w:cs="Arial"/>
                <w:color w:val="000000"/>
                <w:sz w:val="22"/>
                <w:szCs w:val="21"/>
              </w:rPr>
              <w:t>0</w:t>
            </w:r>
          </w:p>
        </w:tc>
        <w:tc>
          <w:tcPr>
            <w:tcW w:w="0" w:type="auto"/>
            <w:shd w:val="clear" w:color="auto" w:fill="auto"/>
            <w:noWrap/>
            <w:vAlign w:val="center"/>
          </w:tcPr>
          <w:p>
            <w:pPr>
              <w:widowControl/>
              <w:spacing w:line="240" w:lineRule="auto"/>
              <w:ind w:firstLine="0" w:firstLineChars="0"/>
              <w:jc w:val="center"/>
              <w:textAlignment w:val="center"/>
              <w:rPr>
                <w:rFonts w:cs="Arial"/>
                <w:color w:val="000000"/>
                <w:kern w:val="0"/>
                <w:sz w:val="22"/>
                <w:szCs w:val="21"/>
                <w:lang w:bidi="ar"/>
              </w:rPr>
            </w:pPr>
            <w:r>
              <w:rPr>
                <w:rFonts w:hint="eastAsia" w:cs="Arial"/>
                <w:color w:val="000000"/>
                <w:kern w:val="0"/>
                <w:sz w:val="22"/>
                <w:szCs w:val="21"/>
                <w:lang w:bidi="ar"/>
              </w:rPr>
              <w:t>4.7956</w:t>
            </w:r>
          </w:p>
        </w:tc>
        <w:tc>
          <w:tcPr>
            <w:tcW w:w="0" w:type="auto"/>
            <w:shd w:val="clear" w:color="auto" w:fill="auto"/>
            <w:noWrap/>
            <w:vAlign w:val="center"/>
          </w:tcPr>
          <w:p>
            <w:pPr>
              <w:widowControl/>
              <w:spacing w:line="240" w:lineRule="auto"/>
              <w:ind w:firstLine="0" w:firstLineChars="0"/>
              <w:jc w:val="center"/>
              <w:textAlignment w:val="center"/>
              <w:rPr>
                <w:rFonts w:cs="Arial"/>
                <w:color w:val="000000"/>
                <w:kern w:val="0"/>
                <w:sz w:val="22"/>
                <w:szCs w:val="21"/>
                <w:lang w:bidi="ar"/>
              </w:rPr>
            </w:pPr>
            <w:r>
              <w:rPr>
                <w:rFonts w:hint="eastAsia" w:cs="Arial"/>
                <w:color w:val="000000"/>
                <w:kern w:val="0"/>
                <w:sz w:val="22"/>
                <w:szCs w:val="21"/>
                <w:lang w:bidi="ar"/>
              </w:rPr>
              <w:t>4.7956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Merge w:val="restart"/>
            <w:shd w:val="clear" w:color="auto" w:fill="auto"/>
            <w:vAlign w:val="center"/>
          </w:tcPr>
          <w:p>
            <w:pPr>
              <w:widowControl/>
              <w:spacing w:line="240" w:lineRule="auto"/>
              <w:ind w:firstLine="0" w:firstLineChars="0"/>
              <w:jc w:val="center"/>
              <w:textAlignment w:val="center"/>
              <w:rPr>
                <w:rFonts w:cs="Arial"/>
                <w:color w:val="000000"/>
                <w:kern w:val="0"/>
                <w:sz w:val="22"/>
                <w:szCs w:val="21"/>
                <w:lang w:bidi="ar"/>
              </w:rPr>
            </w:pPr>
            <w:r>
              <w:rPr>
                <w:rFonts w:hint="eastAsia" w:cs="Arial"/>
                <w:color w:val="000000"/>
                <w:kern w:val="0"/>
                <w:sz w:val="22"/>
                <w:szCs w:val="21"/>
                <w:lang w:bidi="ar"/>
              </w:rPr>
              <w:t>农高核心区片区</w:t>
            </w:r>
          </w:p>
        </w:tc>
        <w:tc>
          <w:tcPr>
            <w:tcW w:w="0" w:type="auto"/>
            <w:shd w:val="clear" w:color="auto" w:fill="auto"/>
            <w:vAlign w:val="center"/>
          </w:tcPr>
          <w:p>
            <w:pPr>
              <w:widowControl/>
              <w:spacing w:line="240" w:lineRule="auto"/>
              <w:ind w:firstLine="0" w:firstLineChars="0"/>
              <w:jc w:val="center"/>
              <w:textAlignment w:val="center"/>
              <w:rPr>
                <w:rFonts w:cs="宋体"/>
                <w:color w:val="000000"/>
                <w:kern w:val="0"/>
                <w:sz w:val="22"/>
                <w:szCs w:val="21"/>
                <w:lang w:bidi="ar"/>
              </w:rPr>
            </w:pPr>
            <w:r>
              <w:rPr>
                <w:rFonts w:hint="eastAsia" w:cs="宋体"/>
                <w:color w:val="000000"/>
                <w:kern w:val="0"/>
                <w:sz w:val="22"/>
                <w:szCs w:val="21"/>
                <w:lang w:bidi="ar"/>
              </w:rPr>
              <w:t>河源市灯塔盆地农高区核心区（首期、二期）项目</w:t>
            </w:r>
          </w:p>
        </w:tc>
        <w:tc>
          <w:tcPr>
            <w:tcW w:w="0" w:type="auto"/>
            <w:shd w:val="clear" w:color="auto" w:fill="auto"/>
            <w:noWrap/>
            <w:vAlign w:val="center"/>
          </w:tcPr>
          <w:p>
            <w:pPr>
              <w:widowControl/>
              <w:spacing w:line="240" w:lineRule="auto"/>
              <w:ind w:firstLine="0" w:firstLineChars="0"/>
              <w:jc w:val="center"/>
              <w:textAlignment w:val="center"/>
              <w:rPr>
                <w:rFonts w:cs="Arial"/>
                <w:color w:val="000000"/>
                <w:sz w:val="22"/>
                <w:szCs w:val="21"/>
              </w:rPr>
            </w:pPr>
            <w:r>
              <w:rPr>
                <w:rFonts w:hint="eastAsia" w:cs="Arial"/>
                <w:color w:val="000000"/>
                <w:sz w:val="22"/>
                <w:szCs w:val="21"/>
              </w:rPr>
              <w:t>0</w:t>
            </w:r>
          </w:p>
        </w:tc>
        <w:tc>
          <w:tcPr>
            <w:tcW w:w="0" w:type="auto"/>
            <w:shd w:val="clear" w:color="auto" w:fill="auto"/>
            <w:noWrap/>
            <w:vAlign w:val="center"/>
          </w:tcPr>
          <w:p>
            <w:pPr>
              <w:widowControl/>
              <w:spacing w:line="240" w:lineRule="auto"/>
              <w:ind w:firstLine="0" w:firstLineChars="0"/>
              <w:jc w:val="center"/>
              <w:textAlignment w:val="center"/>
              <w:rPr>
                <w:rFonts w:cs="Arial"/>
                <w:color w:val="000000"/>
                <w:kern w:val="0"/>
                <w:sz w:val="22"/>
                <w:szCs w:val="21"/>
                <w:lang w:bidi="ar"/>
              </w:rPr>
            </w:pPr>
            <w:r>
              <w:rPr>
                <w:rFonts w:hint="eastAsia" w:cs="Arial"/>
                <w:color w:val="000000"/>
                <w:kern w:val="0"/>
                <w:sz w:val="22"/>
                <w:szCs w:val="21"/>
                <w:lang w:bidi="ar"/>
              </w:rPr>
              <w:t>5.3358</w:t>
            </w:r>
          </w:p>
        </w:tc>
        <w:tc>
          <w:tcPr>
            <w:tcW w:w="0" w:type="auto"/>
            <w:shd w:val="clear" w:color="auto" w:fill="auto"/>
            <w:noWrap/>
            <w:vAlign w:val="center"/>
          </w:tcPr>
          <w:p>
            <w:pPr>
              <w:widowControl/>
              <w:spacing w:line="240" w:lineRule="auto"/>
              <w:ind w:firstLine="0" w:firstLineChars="0"/>
              <w:jc w:val="center"/>
              <w:textAlignment w:val="center"/>
              <w:rPr>
                <w:rFonts w:cs="Arial"/>
                <w:color w:val="000000"/>
                <w:kern w:val="0"/>
                <w:sz w:val="22"/>
                <w:szCs w:val="21"/>
                <w:lang w:bidi="ar"/>
              </w:rPr>
            </w:pPr>
            <w:r>
              <w:rPr>
                <w:rFonts w:hint="eastAsia" w:cs="Arial"/>
                <w:color w:val="000000"/>
                <w:kern w:val="0"/>
                <w:sz w:val="22"/>
                <w:szCs w:val="21"/>
                <w:lang w:bidi="ar"/>
              </w:rPr>
              <w:t>5.3358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Merge w:val="continue"/>
            <w:shd w:val="clear" w:color="auto" w:fill="auto"/>
            <w:vAlign w:val="center"/>
          </w:tcPr>
          <w:p>
            <w:pPr>
              <w:widowControl/>
              <w:spacing w:line="240" w:lineRule="auto"/>
              <w:ind w:firstLine="0" w:firstLineChars="0"/>
              <w:jc w:val="center"/>
              <w:textAlignment w:val="center"/>
              <w:rPr>
                <w:rFonts w:cs="Arial"/>
                <w:color w:val="000000"/>
                <w:kern w:val="0"/>
                <w:sz w:val="22"/>
                <w:szCs w:val="21"/>
                <w:lang w:bidi="ar"/>
              </w:rPr>
            </w:pPr>
          </w:p>
        </w:tc>
        <w:tc>
          <w:tcPr>
            <w:tcW w:w="0" w:type="auto"/>
            <w:shd w:val="clear" w:color="auto" w:fill="auto"/>
            <w:vAlign w:val="center"/>
          </w:tcPr>
          <w:p>
            <w:pPr>
              <w:widowControl/>
              <w:spacing w:line="240" w:lineRule="auto"/>
              <w:ind w:firstLine="0" w:firstLineChars="0"/>
              <w:jc w:val="center"/>
              <w:textAlignment w:val="center"/>
              <w:rPr>
                <w:rFonts w:cs="宋体"/>
                <w:color w:val="000000"/>
                <w:kern w:val="0"/>
                <w:sz w:val="22"/>
                <w:szCs w:val="21"/>
                <w:lang w:bidi="ar"/>
              </w:rPr>
            </w:pPr>
            <w:r>
              <w:rPr>
                <w:rFonts w:hint="eastAsia" w:cs="宋体"/>
                <w:color w:val="000000"/>
                <w:kern w:val="0"/>
                <w:sz w:val="22"/>
                <w:szCs w:val="21"/>
                <w:lang w:bidi="ar"/>
              </w:rPr>
              <w:t>东源县顺天镇蓝莓省级产业园建设项目</w:t>
            </w:r>
          </w:p>
        </w:tc>
        <w:tc>
          <w:tcPr>
            <w:tcW w:w="0" w:type="auto"/>
            <w:shd w:val="clear" w:color="auto" w:fill="auto"/>
            <w:noWrap/>
            <w:vAlign w:val="center"/>
          </w:tcPr>
          <w:p>
            <w:pPr>
              <w:widowControl/>
              <w:spacing w:line="240" w:lineRule="auto"/>
              <w:ind w:firstLine="0" w:firstLineChars="0"/>
              <w:jc w:val="center"/>
              <w:textAlignment w:val="center"/>
              <w:rPr>
                <w:rFonts w:hint="eastAsia" w:eastAsia="仿宋_GB2312" w:cs="Arial"/>
                <w:color w:val="000000"/>
                <w:sz w:val="22"/>
                <w:szCs w:val="21"/>
                <w:lang w:val="en-US" w:eastAsia="zh-CN"/>
              </w:rPr>
            </w:pPr>
            <w:r>
              <w:rPr>
                <w:rFonts w:hint="eastAsia" w:cs="Arial"/>
                <w:color w:val="000000"/>
                <w:sz w:val="22"/>
                <w:szCs w:val="21"/>
              </w:rPr>
              <w:t>3.345</w:t>
            </w:r>
            <w:r>
              <w:rPr>
                <w:rFonts w:hint="eastAsia" w:cs="Arial"/>
                <w:color w:val="000000"/>
                <w:sz w:val="22"/>
                <w:szCs w:val="21"/>
                <w:lang w:val="en-US" w:eastAsia="zh-CN"/>
              </w:rPr>
              <w:t>6</w:t>
            </w:r>
          </w:p>
        </w:tc>
        <w:tc>
          <w:tcPr>
            <w:tcW w:w="0" w:type="auto"/>
            <w:shd w:val="clear" w:color="auto" w:fill="auto"/>
            <w:noWrap/>
            <w:vAlign w:val="center"/>
          </w:tcPr>
          <w:p>
            <w:pPr>
              <w:widowControl/>
              <w:spacing w:line="240" w:lineRule="auto"/>
              <w:ind w:firstLine="0" w:firstLineChars="0"/>
              <w:jc w:val="center"/>
              <w:textAlignment w:val="center"/>
              <w:rPr>
                <w:rFonts w:hint="eastAsia" w:eastAsia="仿宋_GB2312" w:cs="Arial"/>
                <w:color w:val="000000"/>
                <w:kern w:val="0"/>
                <w:sz w:val="22"/>
                <w:szCs w:val="21"/>
                <w:lang w:val="en-US" w:eastAsia="zh-CN" w:bidi="ar"/>
              </w:rPr>
            </w:pPr>
            <w:r>
              <w:rPr>
                <w:rFonts w:hint="eastAsia" w:cs="Arial"/>
                <w:color w:val="000000"/>
                <w:kern w:val="0"/>
                <w:sz w:val="22"/>
                <w:szCs w:val="21"/>
                <w:lang w:val="en-US" w:eastAsia="zh-CN" w:bidi="ar"/>
              </w:rPr>
              <w:t>0</w:t>
            </w:r>
          </w:p>
        </w:tc>
        <w:tc>
          <w:tcPr>
            <w:tcW w:w="0" w:type="auto"/>
            <w:shd w:val="clear" w:color="auto" w:fill="auto"/>
            <w:noWrap/>
            <w:vAlign w:val="center"/>
          </w:tcPr>
          <w:p>
            <w:pPr>
              <w:widowControl/>
              <w:spacing w:line="240" w:lineRule="auto"/>
              <w:ind w:firstLine="0" w:firstLineChars="0"/>
              <w:jc w:val="center"/>
              <w:textAlignment w:val="center"/>
              <w:rPr>
                <w:rFonts w:hint="eastAsia" w:eastAsia="仿宋_GB2312" w:cs="Arial"/>
                <w:color w:val="000000"/>
                <w:kern w:val="0"/>
                <w:sz w:val="22"/>
                <w:szCs w:val="21"/>
                <w:lang w:val="en-US" w:eastAsia="zh-CN" w:bidi="ar"/>
              </w:rPr>
            </w:pPr>
            <w:r>
              <w:rPr>
                <w:rFonts w:hint="eastAsia" w:cs="Arial"/>
                <w:color w:val="000000"/>
                <w:kern w:val="0"/>
                <w:sz w:val="22"/>
                <w:szCs w:val="21"/>
                <w:lang w:bidi="ar"/>
              </w:rPr>
              <w:t>3.345</w:t>
            </w:r>
            <w:r>
              <w:rPr>
                <w:rFonts w:hint="eastAsia" w:cs="Arial"/>
                <w:color w:val="000000"/>
                <w:kern w:val="0"/>
                <w:sz w:val="22"/>
                <w:szCs w:val="21"/>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shd w:val="clear" w:color="auto" w:fill="auto"/>
            <w:vAlign w:val="center"/>
          </w:tcPr>
          <w:p>
            <w:pPr>
              <w:widowControl/>
              <w:spacing w:line="240" w:lineRule="auto"/>
              <w:ind w:firstLine="0" w:firstLineChars="0"/>
              <w:jc w:val="center"/>
              <w:textAlignment w:val="center"/>
              <w:rPr>
                <w:rFonts w:cs="Arial"/>
                <w:color w:val="000000"/>
                <w:kern w:val="0"/>
                <w:sz w:val="22"/>
                <w:szCs w:val="21"/>
                <w:lang w:bidi="ar"/>
              </w:rPr>
            </w:pPr>
            <w:r>
              <w:rPr>
                <w:rFonts w:hint="eastAsia" w:cs="Arial"/>
                <w:color w:val="000000"/>
                <w:kern w:val="0"/>
                <w:sz w:val="22"/>
                <w:szCs w:val="21"/>
                <w:lang w:bidi="ar"/>
              </w:rPr>
              <w:t>船塘片区</w:t>
            </w:r>
          </w:p>
        </w:tc>
        <w:tc>
          <w:tcPr>
            <w:tcW w:w="0" w:type="auto"/>
            <w:shd w:val="clear" w:color="auto" w:fill="auto"/>
            <w:vAlign w:val="center"/>
          </w:tcPr>
          <w:p>
            <w:pPr>
              <w:widowControl/>
              <w:spacing w:line="240" w:lineRule="auto"/>
              <w:ind w:firstLine="0" w:firstLineChars="0"/>
              <w:jc w:val="center"/>
              <w:textAlignment w:val="center"/>
              <w:rPr>
                <w:rFonts w:cs="宋体"/>
                <w:color w:val="000000"/>
                <w:kern w:val="0"/>
                <w:sz w:val="22"/>
                <w:szCs w:val="21"/>
                <w:lang w:bidi="ar"/>
              </w:rPr>
            </w:pPr>
            <w:r>
              <w:rPr>
                <w:rFonts w:hint="eastAsia" w:cs="宋体"/>
                <w:color w:val="000000"/>
                <w:kern w:val="0"/>
                <w:sz w:val="22"/>
                <w:szCs w:val="21"/>
                <w:lang w:bidi="ar"/>
              </w:rPr>
              <w:t>船塘远谷酒店项目</w:t>
            </w:r>
          </w:p>
        </w:tc>
        <w:tc>
          <w:tcPr>
            <w:tcW w:w="0" w:type="auto"/>
            <w:shd w:val="clear" w:color="auto" w:fill="auto"/>
            <w:noWrap/>
            <w:vAlign w:val="center"/>
          </w:tcPr>
          <w:p>
            <w:pPr>
              <w:widowControl/>
              <w:spacing w:line="240" w:lineRule="auto"/>
              <w:ind w:firstLine="0" w:firstLineChars="0"/>
              <w:jc w:val="center"/>
              <w:textAlignment w:val="center"/>
              <w:rPr>
                <w:rFonts w:cs="Arial"/>
                <w:color w:val="000000"/>
                <w:sz w:val="22"/>
                <w:szCs w:val="21"/>
              </w:rPr>
            </w:pPr>
            <w:r>
              <w:rPr>
                <w:rFonts w:hint="eastAsia" w:cs="Arial"/>
                <w:color w:val="000000"/>
                <w:sz w:val="22"/>
                <w:szCs w:val="21"/>
              </w:rPr>
              <w:t>0.3916</w:t>
            </w:r>
          </w:p>
        </w:tc>
        <w:tc>
          <w:tcPr>
            <w:tcW w:w="0" w:type="auto"/>
            <w:shd w:val="clear" w:color="auto" w:fill="auto"/>
            <w:noWrap/>
            <w:vAlign w:val="center"/>
          </w:tcPr>
          <w:p>
            <w:pPr>
              <w:widowControl/>
              <w:spacing w:line="240" w:lineRule="auto"/>
              <w:ind w:firstLine="0" w:firstLineChars="0"/>
              <w:jc w:val="center"/>
              <w:textAlignment w:val="center"/>
              <w:rPr>
                <w:rFonts w:cs="Arial"/>
                <w:color w:val="000000"/>
                <w:kern w:val="0"/>
                <w:sz w:val="22"/>
                <w:szCs w:val="21"/>
                <w:lang w:bidi="ar"/>
              </w:rPr>
            </w:pPr>
            <w:r>
              <w:rPr>
                <w:rFonts w:hint="eastAsia" w:cs="Arial"/>
                <w:color w:val="000000"/>
                <w:kern w:val="0"/>
                <w:sz w:val="22"/>
                <w:szCs w:val="21"/>
                <w:lang w:bidi="ar"/>
              </w:rPr>
              <w:t>0</w:t>
            </w:r>
          </w:p>
        </w:tc>
        <w:tc>
          <w:tcPr>
            <w:tcW w:w="0" w:type="auto"/>
            <w:shd w:val="clear" w:color="auto" w:fill="auto"/>
            <w:noWrap/>
            <w:vAlign w:val="center"/>
          </w:tcPr>
          <w:p>
            <w:pPr>
              <w:widowControl/>
              <w:spacing w:line="240" w:lineRule="auto"/>
              <w:ind w:firstLine="0" w:firstLineChars="0"/>
              <w:jc w:val="center"/>
              <w:textAlignment w:val="center"/>
              <w:rPr>
                <w:rFonts w:cs="Arial"/>
                <w:color w:val="000000"/>
                <w:kern w:val="0"/>
                <w:sz w:val="22"/>
                <w:szCs w:val="21"/>
                <w:lang w:bidi="ar"/>
              </w:rPr>
            </w:pPr>
            <w:r>
              <w:rPr>
                <w:rFonts w:hint="eastAsia" w:cs="Arial"/>
                <w:color w:val="000000"/>
                <w:kern w:val="0"/>
                <w:sz w:val="22"/>
                <w:szCs w:val="21"/>
                <w:lang w:bidi="ar"/>
              </w:rPr>
              <w:t>0.3916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shd w:val="clear" w:color="auto" w:fill="auto"/>
            <w:vAlign w:val="center"/>
          </w:tcPr>
          <w:p>
            <w:pPr>
              <w:widowControl/>
              <w:spacing w:line="240" w:lineRule="auto"/>
              <w:ind w:firstLine="0" w:firstLineChars="0"/>
              <w:jc w:val="center"/>
              <w:textAlignment w:val="center"/>
              <w:rPr>
                <w:rFonts w:cs="Arial"/>
                <w:color w:val="000000"/>
                <w:kern w:val="0"/>
                <w:sz w:val="22"/>
                <w:szCs w:val="21"/>
                <w:lang w:bidi="ar"/>
              </w:rPr>
            </w:pPr>
            <w:r>
              <w:rPr>
                <w:rFonts w:hint="eastAsia" w:cs="Arial"/>
                <w:color w:val="000000"/>
                <w:kern w:val="0"/>
                <w:sz w:val="22"/>
                <w:szCs w:val="21"/>
                <w:lang w:bidi="ar"/>
              </w:rPr>
              <w:t>锡场片区</w:t>
            </w:r>
          </w:p>
        </w:tc>
        <w:tc>
          <w:tcPr>
            <w:tcW w:w="0" w:type="auto"/>
            <w:shd w:val="clear" w:color="auto" w:fill="auto"/>
            <w:vAlign w:val="center"/>
          </w:tcPr>
          <w:p>
            <w:pPr>
              <w:widowControl/>
              <w:spacing w:line="240" w:lineRule="auto"/>
              <w:ind w:firstLine="0" w:firstLineChars="0"/>
              <w:jc w:val="center"/>
              <w:textAlignment w:val="center"/>
              <w:rPr>
                <w:rFonts w:cs="宋体"/>
                <w:color w:val="000000"/>
                <w:kern w:val="0"/>
                <w:sz w:val="22"/>
                <w:szCs w:val="21"/>
                <w:lang w:bidi="ar"/>
              </w:rPr>
            </w:pPr>
            <w:r>
              <w:rPr>
                <w:rFonts w:hint="eastAsia" w:cs="宋体"/>
                <w:color w:val="000000"/>
                <w:kern w:val="0"/>
                <w:sz w:val="22"/>
                <w:szCs w:val="21"/>
                <w:lang w:bidi="ar"/>
              </w:rPr>
              <w:t>东源县锡场镇西林加油站建设项目</w:t>
            </w:r>
          </w:p>
        </w:tc>
        <w:tc>
          <w:tcPr>
            <w:tcW w:w="0" w:type="auto"/>
            <w:shd w:val="clear" w:color="auto" w:fill="auto"/>
            <w:noWrap/>
            <w:vAlign w:val="center"/>
          </w:tcPr>
          <w:p>
            <w:pPr>
              <w:widowControl/>
              <w:spacing w:line="240" w:lineRule="auto"/>
              <w:ind w:firstLine="0" w:firstLineChars="0"/>
              <w:jc w:val="center"/>
              <w:textAlignment w:val="center"/>
              <w:rPr>
                <w:rFonts w:cs="Arial"/>
                <w:color w:val="000000"/>
                <w:sz w:val="22"/>
                <w:szCs w:val="21"/>
              </w:rPr>
            </w:pPr>
            <w:r>
              <w:rPr>
                <w:rFonts w:hint="eastAsia" w:cs="Arial"/>
                <w:color w:val="000000"/>
                <w:sz w:val="22"/>
                <w:szCs w:val="21"/>
              </w:rPr>
              <w:t>0.0644</w:t>
            </w:r>
          </w:p>
        </w:tc>
        <w:tc>
          <w:tcPr>
            <w:tcW w:w="0" w:type="auto"/>
            <w:shd w:val="clear" w:color="auto" w:fill="auto"/>
            <w:noWrap/>
            <w:vAlign w:val="center"/>
          </w:tcPr>
          <w:p>
            <w:pPr>
              <w:widowControl/>
              <w:spacing w:line="240" w:lineRule="auto"/>
              <w:ind w:firstLine="0" w:firstLineChars="0"/>
              <w:jc w:val="center"/>
              <w:textAlignment w:val="center"/>
              <w:rPr>
                <w:rFonts w:hint="eastAsia" w:eastAsia="仿宋_GB2312" w:cs="Arial"/>
                <w:color w:val="000000"/>
                <w:kern w:val="0"/>
                <w:sz w:val="22"/>
                <w:szCs w:val="21"/>
                <w:lang w:eastAsia="zh-CN" w:bidi="ar"/>
              </w:rPr>
            </w:pPr>
            <w:r>
              <w:rPr>
                <w:rFonts w:hint="eastAsia" w:cs="Arial"/>
                <w:color w:val="000000"/>
                <w:kern w:val="0"/>
                <w:sz w:val="22"/>
                <w:szCs w:val="21"/>
                <w:lang w:val="en-US" w:eastAsia="zh-CN" w:bidi="ar"/>
              </w:rPr>
              <w:t>0</w:t>
            </w:r>
          </w:p>
        </w:tc>
        <w:tc>
          <w:tcPr>
            <w:tcW w:w="0" w:type="auto"/>
            <w:shd w:val="clear" w:color="auto" w:fill="auto"/>
            <w:noWrap/>
            <w:vAlign w:val="center"/>
          </w:tcPr>
          <w:p>
            <w:pPr>
              <w:widowControl/>
              <w:spacing w:line="240" w:lineRule="auto"/>
              <w:ind w:firstLine="0" w:firstLineChars="0"/>
              <w:jc w:val="center"/>
              <w:textAlignment w:val="center"/>
              <w:rPr>
                <w:rFonts w:cs="Arial"/>
                <w:color w:val="000000"/>
                <w:kern w:val="0"/>
                <w:sz w:val="22"/>
                <w:szCs w:val="21"/>
                <w:lang w:bidi="ar"/>
              </w:rPr>
            </w:pPr>
            <w:r>
              <w:rPr>
                <w:rFonts w:hint="eastAsia" w:cs="Arial"/>
                <w:color w:val="000000"/>
                <w:kern w:val="0"/>
                <w:sz w:val="22"/>
                <w:szCs w:val="21"/>
                <w:lang w:bidi="ar"/>
              </w:rPr>
              <w:t>0.0644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gridSpan w:val="2"/>
            <w:shd w:val="clear" w:color="auto" w:fill="auto"/>
            <w:vAlign w:val="center"/>
          </w:tcPr>
          <w:p>
            <w:pPr>
              <w:widowControl/>
              <w:spacing w:line="240" w:lineRule="auto"/>
              <w:ind w:firstLine="0" w:firstLineChars="0"/>
              <w:jc w:val="center"/>
              <w:textAlignment w:val="center"/>
              <w:rPr>
                <w:rFonts w:cs="Arial"/>
                <w:color w:val="000000"/>
                <w:sz w:val="22"/>
                <w:szCs w:val="21"/>
              </w:rPr>
            </w:pPr>
            <w:r>
              <w:rPr>
                <w:rFonts w:cs="Arial"/>
                <w:color w:val="000000"/>
                <w:kern w:val="0"/>
                <w:sz w:val="22"/>
                <w:szCs w:val="21"/>
                <w:lang w:bidi="ar"/>
              </w:rPr>
              <w:t>总计</w:t>
            </w:r>
          </w:p>
        </w:tc>
        <w:tc>
          <w:tcPr>
            <w:tcW w:w="0" w:type="auto"/>
            <w:shd w:val="clear" w:color="auto" w:fill="auto"/>
            <w:noWrap/>
            <w:vAlign w:val="center"/>
          </w:tcPr>
          <w:p>
            <w:pPr>
              <w:widowControl/>
              <w:spacing w:line="240" w:lineRule="auto"/>
              <w:ind w:firstLine="0" w:firstLineChars="0"/>
              <w:jc w:val="center"/>
              <w:textAlignment w:val="center"/>
              <w:rPr>
                <w:rFonts w:hint="default" w:eastAsia="仿宋_GB2312" w:cs="Arial"/>
                <w:color w:val="000000"/>
                <w:sz w:val="22"/>
                <w:szCs w:val="21"/>
                <w:lang w:val="en-US" w:eastAsia="zh-CN"/>
              </w:rPr>
            </w:pPr>
            <w:r>
              <w:rPr>
                <w:rFonts w:hint="eastAsia" w:cs="Arial"/>
                <w:color w:val="000000"/>
                <w:sz w:val="22"/>
                <w:szCs w:val="21"/>
                <w:lang w:val="en-US" w:eastAsia="zh-CN"/>
              </w:rPr>
              <w:t>11.4960</w:t>
            </w:r>
          </w:p>
        </w:tc>
        <w:tc>
          <w:tcPr>
            <w:tcW w:w="0" w:type="auto"/>
            <w:shd w:val="clear" w:color="auto" w:fill="auto"/>
            <w:noWrap/>
            <w:vAlign w:val="center"/>
          </w:tcPr>
          <w:p>
            <w:pPr>
              <w:widowControl/>
              <w:spacing w:line="240" w:lineRule="auto"/>
              <w:ind w:firstLine="0" w:firstLineChars="0"/>
              <w:jc w:val="center"/>
              <w:textAlignment w:val="center"/>
              <w:rPr>
                <w:rFonts w:hint="default" w:eastAsia="仿宋_GB2312" w:cs="Arial"/>
                <w:color w:val="000000"/>
                <w:sz w:val="22"/>
                <w:szCs w:val="21"/>
                <w:lang w:val="en-US" w:eastAsia="zh-CN"/>
              </w:rPr>
            </w:pPr>
            <w:r>
              <w:rPr>
                <w:rFonts w:hint="eastAsia" w:cs="Arial"/>
                <w:color w:val="000000"/>
                <w:sz w:val="22"/>
                <w:szCs w:val="21"/>
                <w:lang w:val="en-US" w:eastAsia="zh-CN"/>
              </w:rPr>
              <w:t>74.4393</w:t>
            </w:r>
          </w:p>
        </w:tc>
        <w:tc>
          <w:tcPr>
            <w:tcW w:w="0" w:type="auto"/>
            <w:shd w:val="clear" w:color="auto" w:fill="auto"/>
            <w:noWrap/>
            <w:vAlign w:val="center"/>
          </w:tcPr>
          <w:p>
            <w:pPr>
              <w:widowControl/>
              <w:spacing w:line="240" w:lineRule="auto"/>
              <w:ind w:firstLine="0" w:firstLineChars="0"/>
              <w:jc w:val="center"/>
              <w:textAlignment w:val="center"/>
              <w:rPr>
                <w:rFonts w:hint="default" w:eastAsia="仿宋_GB2312" w:cs="Arial"/>
                <w:color w:val="000000"/>
                <w:sz w:val="22"/>
                <w:szCs w:val="21"/>
                <w:lang w:val="en-US" w:eastAsia="zh-CN"/>
              </w:rPr>
            </w:pPr>
            <w:r>
              <w:rPr>
                <w:rFonts w:hint="eastAsia" w:cs="Arial"/>
                <w:color w:val="000000"/>
                <w:sz w:val="22"/>
                <w:szCs w:val="21"/>
                <w:lang w:eastAsia="zh-CN"/>
              </w:rPr>
              <w:t>84.935</w:t>
            </w:r>
            <w:r>
              <w:rPr>
                <w:rFonts w:hint="eastAsia" w:cs="Arial"/>
                <w:color w:val="000000"/>
                <w:sz w:val="22"/>
                <w:szCs w:val="21"/>
                <w:lang w:val="en-US" w:eastAsia="zh-CN"/>
              </w:rPr>
              <w:t>3</w:t>
            </w:r>
          </w:p>
        </w:tc>
      </w:tr>
    </w:tbl>
    <w:p>
      <w:pPr>
        <w:pStyle w:val="13"/>
        <w:jc w:val="both"/>
      </w:pPr>
    </w:p>
    <w:p>
      <w:pPr>
        <w:ind w:firstLine="560"/>
        <w:rPr>
          <w:rFonts w:cs="宋体"/>
        </w:rPr>
      </w:pPr>
      <w:r>
        <w:rPr>
          <w:rFonts w:hint="eastAsia" w:cs="宋体"/>
        </w:rPr>
        <w:br w:type="page"/>
      </w:r>
    </w:p>
    <w:p>
      <w:pPr>
        <w:pStyle w:val="3"/>
        <w:rPr>
          <w:rFonts w:cs="宋体"/>
        </w:rPr>
      </w:pPr>
      <w:bookmarkStart w:id="29" w:name="_Toc13635"/>
      <w:r>
        <w:rPr>
          <w:rFonts w:hint="eastAsia" w:cs="宋体"/>
        </w:rPr>
        <w:t>第六章 成片开发效益评估</w:t>
      </w:r>
      <w:bookmarkEnd w:id="29"/>
    </w:p>
    <w:p>
      <w:pPr>
        <w:pStyle w:val="4"/>
        <w:rPr>
          <w:rFonts w:cs="宋体"/>
        </w:rPr>
      </w:pPr>
      <w:bookmarkStart w:id="30" w:name="_Toc31067"/>
      <w:r>
        <w:rPr>
          <w:rFonts w:hint="eastAsia" w:cs="宋体"/>
        </w:rPr>
        <w:t>一、土地利用效益评估</w:t>
      </w:r>
      <w:bookmarkEnd w:id="30"/>
    </w:p>
    <w:p>
      <w:pPr>
        <w:pStyle w:val="14"/>
        <w:ind w:firstLine="560"/>
      </w:pPr>
      <w:r>
        <w:rPr>
          <w:rFonts w:hint="eastAsia"/>
        </w:rPr>
        <w:t>本次《方案调整》通过合理安排项目用地规模、结构和布局，有效缓解区域土地供需矛盾，提高现有用地使用效益，实现土地利用由粗放型向集约型转变。在布局优化方面，成片开发范围开发建设符合东源县各开发区域控制性详细规划等相关规范导则要求，能够科学合理布局各类用地，优化区域功能结构。在连片开发方面，本次方案合理配置基础设施、公共服务设施以及其他公益性用地和非公益性用地，充分盘活片区闲置土地及低效用地，并与周边地块做了充分衔接，充分考虑与周边环境的协调性，将进一步促进区域的集中连片发展，完善区域公共配套设施，促进提升城市功能品质。</w:t>
      </w:r>
    </w:p>
    <w:p>
      <w:pPr>
        <w:pStyle w:val="4"/>
        <w:rPr>
          <w:rFonts w:cs="宋体"/>
        </w:rPr>
      </w:pPr>
      <w:bookmarkStart w:id="31" w:name="_Toc20461"/>
      <w:r>
        <w:rPr>
          <w:rFonts w:hint="eastAsia" w:cs="宋体"/>
        </w:rPr>
        <w:t>二、经济效益评估</w:t>
      </w:r>
      <w:bookmarkEnd w:id="31"/>
    </w:p>
    <w:p>
      <w:pPr>
        <w:ind w:firstLine="560"/>
      </w:pPr>
      <w:r>
        <w:rPr>
          <w:rFonts w:hint="eastAsia"/>
        </w:rPr>
        <w:t>本次《方案调整》的实施将进一步推动东源县产业园区、基础设施、公共服务等的开发建设，为投资者创造良好的生产经营环境和生活条件。将进一步提升当地企业市场竞争力，营造良好的企业运营环境，提供优质的公共服务设施水平、居住服务环境，推动区域优质发展。通过本次《方案调整》的编制与落实，为城市发展储蓄了后备土地资源，为东源县经济的可持续、高质量发展提供坚实的后盾，积极引进现代化物流仓储、电子信息智能制造等先进制造业，进一步完善产业结构，推动东源县产业平台的建设。同时也可促进招商引资与渠道拓展，推动区域产城高效融合，进一步保障区域经济发展和其他重点项目顺利落地实施，推进社会经济高质量发展，为东源县实现“十四五”规划目标提供支持和保障。</w:t>
      </w:r>
    </w:p>
    <w:p>
      <w:pPr>
        <w:pStyle w:val="4"/>
        <w:rPr>
          <w:rFonts w:cs="宋体"/>
        </w:rPr>
      </w:pPr>
      <w:bookmarkStart w:id="32" w:name="_Toc11352"/>
      <w:r>
        <w:rPr>
          <w:rFonts w:hint="eastAsia" w:cs="宋体"/>
        </w:rPr>
        <w:t>三、社会效益评估</w:t>
      </w:r>
      <w:bookmarkEnd w:id="32"/>
    </w:p>
    <w:p>
      <w:pPr>
        <w:autoSpaceDN w:val="0"/>
        <w:ind w:firstLine="560"/>
        <w:rPr>
          <w:rFonts w:cs="仿宋"/>
          <w:kern w:val="0"/>
          <w:szCs w:val="22"/>
        </w:rPr>
      </w:pPr>
      <w:r>
        <w:rPr>
          <w:rFonts w:hint="eastAsia" w:cs="仿宋"/>
          <w:kern w:val="0"/>
          <w:szCs w:val="22"/>
        </w:rPr>
        <w:t>《方案调整》实施后，可推进成片开发范围内部及周边基础设施、公共服务设施的升级和建设，提升区域公共服务水平</w:t>
      </w:r>
      <w:r>
        <w:rPr>
          <w:rFonts w:hint="eastAsia" w:cs="仿宋"/>
          <w:kern w:val="0"/>
          <w:szCs w:val="22"/>
          <w:lang w:eastAsia="zh-CN"/>
        </w:rPr>
        <w:t>，</w:t>
      </w:r>
      <w:bookmarkStart w:id="51" w:name="_GoBack"/>
      <w:bookmarkEnd w:id="51"/>
      <w:r>
        <w:rPr>
          <w:rFonts w:hint="eastAsia" w:cs="仿宋"/>
          <w:kern w:val="0"/>
          <w:szCs w:val="22"/>
        </w:rPr>
        <w:t>提高区域人民生活质量和促进社会进步。在发展现代产业的同时，注重改善人居环境，构建宜居宜业宜游的优质人居典范，促进居住空间与就业空间的协调发展。带动就业方面，纳入《方案调整》的成片开发项目建设施工期间及运营实施阶段，均可带动上下游产业链发展，带动区域就业，为民生保障提供了强有力的支撑。在完善生活配套设施方面，区域内公共设施、生态网络、道路设施等将被统筹建设，能够有效保障区域设施的配套建设需求。</w:t>
      </w:r>
    </w:p>
    <w:p>
      <w:pPr>
        <w:pStyle w:val="4"/>
        <w:rPr>
          <w:rFonts w:cs="宋体"/>
        </w:rPr>
      </w:pPr>
      <w:bookmarkStart w:id="33" w:name="_Toc23715"/>
      <w:r>
        <w:rPr>
          <w:rFonts w:hint="eastAsia" w:cs="宋体"/>
        </w:rPr>
        <w:t>四、生态效益评估</w:t>
      </w:r>
      <w:bookmarkEnd w:id="33"/>
    </w:p>
    <w:p>
      <w:pPr>
        <w:ind w:firstLine="560"/>
      </w:pPr>
      <w:r>
        <w:rPr>
          <w:rFonts w:hint="eastAsia"/>
        </w:rPr>
        <w:t>《方案调整》成片开发范围不涉及永久基本农田、自然保护地、陆域生态保护红线等生态底线管控要素，各项目均符合《河源市“三线一单”生态环境分区管控方案》要求。</w:t>
      </w:r>
    </w:p>
    <w:p>
      <w:pPr>
        <w:ind w:firstLine="560"/>
      </w:pPr>
      <w:r>
        <w:rPr>
          <w:rFonts w:hint="eastAsia"/>
        </w:rPr>
        <w:t>各成片开发项目在建设前均按要求做好区域排水规划设计，预埋污水管网、排水管网等，实现排水管网建设与污水处理设施同步设计、同步建设、同步投运，可以避免由于开发建设地表硬化导致地表径流调节能力减弱带来的内涝和有效控制污染，为老百姓建立一个绿色、健康、可持续发展的城市家园。</w:t>
      </w:r>
    </w:p>
    <w:p>
      <w:pPr>
        <w:ind w:firstLine="560"/>
        <w:rPr>
          <w:rFonts w:cs="宋体"/>
        </w:rPr>
      </w:pPr>
      <w:r>
        <w:rPr>
          <w:rFonts w:hint="eastAsia"/>
        </w:rPr>
        <w:t>项目开发建设将结合项目类型采取有效的环境影响保护控制及减缓措施，积极采用从污染源头控制和治理、做好环境风险管控和各项生态环境保护等措施，避免对区域大气环境、土壤环境、水环境、声环境等产生破坏，减少对区域生态环境产生不良影响。</w:t>
      </w:r>
      <w:r>
        <w:rPr>
          <w:rFonts w:hint="eastAsia" w:cs="宋体"/>
        </w:rPr>
        <w:br w:type="page"/>
      </w:r>
    </w:p>
    <w:p>
      <w:pPr>
        <w:pStyle w:val="3"/>
      </w:pPr>
      <w:bookmarkStart w:id="34" w:name="_Toc2377"/>
      <w:r>
        <w:rPr>
          <w:rFonts w:hint="eastAsia"/>
        </w:rPr>
        <w:t>第七章 结论</w:t>
      </w:r>
      <w:bookmarkEnd w:id="34"/>
    </w:p>
    <w:p>
      <w:pPr>
        <w:ind w:firstLine="560"/>
      </w:pPr>
      <w:r>
        <w:rPr>
          <w:rFonts w:hint="eastAsia"/>
        </w:rPr>
        <w:t>1.《方案调整》坚持新发展理念，以人民为中心，注重维护农民合法权益，注重保护耕地，注重节约集约用地，注重生态环境保护，能够促进当地经济社会可持续发展。</w:t>
      </w:r>
    </w:p>
    <w:p>
      <w:pPr>
        <w:ind w:firstLine="560"/>
      </w:pPr>
      <w:r>
        <w:rPr>
          <w:rFonts w:hint="eastAsia"/>
        </w:rPr>
        <w:t>2.《方案调整》编制实施有利于东源县构建现代产业体系，建设城市发展新格局，促进“融湾”“融深”，完善区域公共配套设施，提升土地利用效益，维护生态平衡，《方案调整》编制是必要的、可行的。</w:t>
      </w:r>
    </w:p>
    <w:p>
      <w:pPr>
        <w:ind w:firstLine="560"/>
      </w:pPr>
      <w:r>
        <w:rPr>
          <w:rFonts w:hint="eastAsia"/>
        </w:rPr>
        <w:t>3.《方案调整》安排基础设施、公共服务设施以及其他公益性用地57.4497公顷，占总用地比例40.6</w:t>
      </w:r>
      <w:r>
        <w:rPr>
          <w:rFonts w:hint="eastAsia"/>
          <w:lang w:val="en-US" w:eastAsia="zh-CN"/>
        </w:rPr>
        <w:t>1</w:t>
      </w:r>
      <w:r>
        <w:rPr>
          <w:rFonts w:hint="eastAsia"/>
        </w:rPr>
        <w:t>%，且各项目公益性用地比例均大于40%，符合基础设施、公共服务设施以及其他公益性用地比例一般不低于40%的要求。</w:t>
      </w:r>
    </w:p>
    <w:p>
      <w:pPr>
        <w:ind w:firstLine="560"/>
      </w:pPr>
      <w:r>
        <w:rPr>
          <w:rFonts w:hint="eastAsia"/>
        </w:rPr>
        <w:t>4.《方案调整》成片开发范围面积</w:t>
      </w:r>
      <w:r>
        <w:rPr>
          <w:rFonts w:hint="eastAsia"/>
          <w:lang w:eastAsia="zh-CN"/>
        </w:rPr>
        <w:t>141.4763</w:t>
      </w:r>
      <w:r>
        <w:rPr>
          <w:rFonts w:hint="eastAsia"/>
        </w:rPr>
        <w:t>公顷，拟征收地块面积</w:t>
      </w:r>
      <w:r>
        <w:rPr>
          <w:rFonts w:hint="eastAsia"/>
          <w:lang w:eastAsia="zh-CN"/>
        </w:rPr>
        <w:t>84.9353</w:t>
      </w:r>
      <w:r>
        <w:rPr>
          <w:rFonts w:hint="eastAsia"/>
        </w:rPr>
        <w:t>公顷，占土地征收成片开发范围面积的</w:t>
      </w:r>
      <w:r>
        <w:rPr>
          <w:rFonts w:hint="eastAsia"/>
          <w:lang w:eastAsia="zh-CN"/>
        </w:rPr>
        <w:t>60.04%</w:t>
      </w:r>
      <w:r>
        <w:rPr>
          <w:rFonts w:hint="eastAsia"/>
        </w:rPr>
        <w:t>，符合整个方案拟征收地块面积不低于土地征收成片开发范围面积的60%的要求。</w:t>
      </w:r>
    </w:p>
    <w:p>
      <w:pPr>
        <w:ind w:firstLine="560"/>
      </w:pPr>
      <w:r>
        <w:rPr>
          <w:rFonts w:hint="eastAsia"/>
        </w:rPr>
        <w:t>5.《方案调整》符合国民经济和社会发展规划、土地利用总体规划、城乡规划和专项规划，已纳入国民经济和社会发展年度计划，并与在编国土空间规划进行了充分衔接，项目纳入了城镇开发边界集中建设区内，符合土地征收成片开发有关要求。</w:t>
      </w:r>
    </w:p>
    <w:p>
      <w:pPr>
        <w:ind w:firstLine="560"/>
      </w:pPr>
      <w:r>
        <w:rPr>
          <w:rFonts w:hint="eastAsia"/>
        </w:rPr>
        <w:t>6.《方案调整》不涉及占用永久基本农田和生态保护红线，东源县近五年平均供地率大于60%、土地闲置率小于5%，不存在大量批而未供土地或者闲置土地。辖区内的省级以上开发区不存在土地利用效率低下的情形，辖区内无国家级新区；东源县不存在已批准实施的土地征收成片开发连续两年未完成年度土地征收实施计划的情况，符合土地征收成片开发方案上报审查的要求。</w:t>
      </w:r>
    </w:p>
    <w:p>
      <w:pPr>
        <w:ind w:firstLine="560"/>
      </w:pPr>
      <w:r>
        <w:rPr>
          <w:rFonts w:hint="eastAsia"/>
        </w:rPr>
        <w:t>7.《方案调整》制定了合理实施计划，计划在2023-2024年期间完成土地征收，实施计划综合考虑规划建设计划、被征地单位意愿、征地资金等情况，实施计划切实可行。</w:t>
      </w:r>
    </w:p>
    <w:p>
      <w:pPr>
        <w:ind w:firstLine="560"/>
      </w:pPr>
      <w:r>
        <w:rPr>
          <w:rFonts w:hint="eastAsia"/>
        </w:rPr>
        <w:t>8.《方案调整》实施将进一步优化建设用地空间布局，提高建设用地集约利用水平和城市化建设水平，推进园区提质增效，推动产业项目集聚集约发展，推进工业转型升级，实现工业增量。同时，为当地居民提供更多公共、商业设施与就业机会，有利于吸引大量人才，有较大的经济与社会效益。同时，开发建设不涉及生态敏感、脆弱区域，将减少原先对粗放无序发展、对生态资源的低效利用与破坏，提高人民群众对生态环境的满意度和获得感，具有较好的生态效益。</w:t>
      </w:r>
    </w:p>
    <w:p>
      <w:pPr>
        <w:ind w:firstLine="560"/>
      </w:pPr>
      <w:r>
        <w:rPr>
          <w:rFonts w:hint="eastAsia"/>
          <w:lang w:val="en-US" w:eastAsia="zh-CN"/>
        </w:rPr>
        <w:t>9.</w:t>
      </w:r>
      <w:r>
        <w:rPr>
          <w:rFonts w:hint="eastAsia"/>
        </w:rPr>
        <w:t>综上所述，《方案调整》符合政策要求、程序规范；土地征收实施计划安排合理、可行性高；成片开发能带来较大的经济、社会、生态效益。</w:t>
      </w:r>
    </w:p>
    <w:p>
      <w:pPr>
        <w:widowControl/>
        <w:spacing w:line="240" w:lineRule="auto"/>
        <w:ind w:firstLine="0" w:firstLineChars="0"/>
        <w:jc w:val="left"/>
        <w:rPr>
          <w:b/>
          <w:kern w:val="44"/>
          <w:sz w:val="32"/>
        </w:rPr>
      </w:pPr>
      <w:bookmarkStart w:id="35" w:name="_Toc22826"/>
      <w:bookmarkStart w:id="36" w:name="_Toc21315"/>
      <w:bookmarkStart w:id="37" w:name="_Toc25127"/>
      <w:bookmarkStart w:id="38" w:name="_Toc6892"/>
      <w:bookmarkStart w:id="39" w:name="_Toc3474"/>
      <w:bookmarkStart w:id="40" w:name="_Toc22560"/>
      <w:bookmarkStart w:id="41" w:name="_Toc11692"/>
      <w:bookmarkStart w:id="42" w:name="_Toc23154"/>
      <w:bookmarkStart w:id="43" w:name="_Toc11958"/>
      <w:bookmarkStart w:id="44" w:name="_Toc25565"/>
      <w:bookmarkStart w:id="45" w:name="_Toc31934"/>
      <w:bookmarkStart w:id="46" w:name="_Toc21627"/>
      <w:bookmarkStart w:id="47" w:name="_Toc13755"/>
      <w:bookmarkStart w:id="48" w:name="_Toc9956"/>
      <w:bookmarkStart w:id="49" w:name="_Toc26966"/>
      <w:r>
        <w:br w:type="page"/>
      </w:r>
    </w:p>
    <w:p>
      <w:pPr>
        <w:pStyle w:val="3"/>
        <w:keepNext w:val="0"/>
        <w:keepLines w:val="0"/>
        <w:numPr>
          <w:ilvl w:val="0"/>
          <w:numId w:val="3"/>
        </w:numPr>
        <w:autoSpaceDN w:val="0"/>
        <w:rPr>
          <w:rFonts w:cs="仿宋"/>
          <w:bCs/>
          <w:kern w:val="0"/>
          <w:szCs w:val="32"/>
        </w:rPr>
      </w:pPr>
      <w:bookmarkStart w:id="50" w:name="_Toc24629"/>
      <w:r>
        <w:rPr>
          <w:rFonts w:hint="eastAsia" w:cs="仿宋"/>
          <w:bCs/>
          <w:kern w:val="0"/>
          <w:szCs w:val="32"/>
        </w:rPr>
        <w:t>附图</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pPr>
        <w:ind w:firstLine="0" w:firstLineChars="0"/>
        <w:rPr>
          <w:rFonts w:hint="eastAsia" w:eastAsia="仿宋_GB2312"/>
          <w:lang w:eastAsia="zh-CN"/>
        </w:rPr>
      </w:pPr>
      <w:r>
        <w:rPr>
          <w:rFonts w:hint="eastAsia" w:eastAsia="仿宋_GB2312"/>
          <w:lang w:eastAsia="zh-CN"/>
        </w:rPr>
        <w:drawing>
          <wp:inline distT="0" distB="0" distL="114300" distR="114300">
            <wp:extent cx="5456555" cy="3860800"/>
            <wp:effectExtent l="0" t="0" r="10795" b="6350"/>
            <wp:docPr id="2" name="图片 2" descr="调整后成片开发范围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调整后成片开发范围布局图"/>
                    <pic:cNvPicPr>
                      <a:picLocks noChangeAspect="1"/>
                    </pic:cNvPicPr>
                  </pic:nvPicPr>
                  <pic:blipFill>
                    <a:blip r:embed="rId22"/>
                    <a:stretch>
                      <a:fillRect/>
                    </a:stretch>
                  </pic:blipFill>
                  <pic:spPr>
                    <a:xfrm>
                      <a:off x="0" y="0"/>
                      <a:ext cx="5456555" cy="3860800"/>
                    </a:xfrm>
                    <a:prstGeom prst="rect">
                      <a:avLst/>
                    </a:prstGeom>
                  </pic:spPr>
                </pic:pic>
              </a:graphicData>
            </a:graphic>
          </wp:inline>
        </w:drawing>
      </w:r>
    </w:p>
    <w:sectPr>
      <w:pgSz w:w="11907" w:h="16839"/>
      <w:pgMar w:top="1221" w:right="1606" w:bottom="726" w:left="1702" w:header="0" w:footer="565"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TimesNewRomanPSMT">
    <w:altName w:val="Times New Roman"/>
    <w:panose1 w:val="00000000000000000000"/>
    <w:charset w:val="00"/>
    <w:family w:val="auto"/>
    <w:pitch w:val="default"/>
    <w:sig w:usb0="00000000" w:usb1="00000000" w:usb2="00000000" w:usb3="00000000" w:csb0="00000000" w:csb1="00000000"/>
  </w:font>
  <w:font w:name="方正小标宋简体">
    <w:altName w:val="黑体"/>
    <w:panose1 w:val="03000509000000000000"/>
    <w:charset w:val="86"/>
    <w:family w:val="auto"/>
    <w:pitch w:val="default"/>
    <w:sig w:usb0="00000000" w:usb1="00000000" w:usb2="0000000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ind w:firstLine="36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16"/>
                      <w:ind w:firstLine="360"/>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29590" cy="146685"/>
              <wp:effectExtent l="0" t="0" r="0" b="0"/>
              <wp:wrapNone/>
              <wp:docPr id="3" name="文本框 3"/>
              <wp:cNvGraphicFramePr/>
              <a:graphic xmlns:a="http://schemas.openxmlformats.org/drawingml/2006/main">
                <a:graphicData uri="http://schemas.microsoft.com/office/word/2010/wordprocessingShape">
                  <wps:wsp>
                    <wps:cNvSpPr txBox="1"/>
                    <wps:spPr>
                      <a:xfrm>
                        <a:off x="0" y="0"/>
                        <a:ext cx="529590" cy="1466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ind w:firstLine="36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pt;height:11.55pt;width:41.7pt;mso-position-horizontal:center;mso-position-horizontal-relative:margin;z-index:251660288;mso-width-relative:page;mso-height-relative:page;" filled="f" stroked="f" coordsize="21600,21600" o:gfxdata="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26g8I0wAAAAMBAAAPAAAAAAAAAAEAIAAAACIAAABkcnMvZG93bnJldi54bWxQSwEC&#10;FAAUAAAACACHTuJA8MEqUjICAABVBAAADgAAAAAAAAABACAAAAAiAQAAZHJzL2Uyb0RvYy54bWxQ&#10;SwUGAAAAAAYABgBZAQAAxgUAAAAA&#10;">
              <v:fill on="f" focussize="0,0"/>
              <v:stroke on="f" weight="0.5pt"/>
              <v:imagedata o:title=""/>
              <o:lock v:ext="edit" aspectratio="f"/>
              <v:textbox inset="0mm,0mm,0mm,0mm">
                <w:txbxContent>
                  <w:p>
                    <w:pPr>
                      <w:pStyle w:val="16"/>
                      <w:ind w:firstLine="36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45" w:firstLine="360"/>
      <w:rPr>
        <w:rFonts w:eastAsia="Times New Roman"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570865" cy="169545"/>
              <wp:effectExtent l="0" t="0" r="0" b="0"/>
              <wp:wrapNone/>
              <wp:docPr id="9" name="文本框 9"/>
              <wp:cNvGraphicFramePr/>
              <a:graphic xmlns:a="http://schemas.openxmlformats.org/drawingml/2006/main">
                <a:graphicData uri="http://schemas.microsoft.com/office/word/2010/wordprocessingShape">
                  <wps:wsp>
                    <wps:cNvSpPr txBox="1"/>
                    <wps:spPr>
                      <a:xfrm>
                        <a:off x="0" y="0"/>
                        <a:ext cx="570865" cy="1695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ind w:firstLine="360"/>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pt;height:13.35pt;width:44.95pt;mso-position-horizontal:center;mso-position-horizontal-relative:margin;z-index:251661312;mso-width-relative:page;mso-height-relative:page;" filled="f" stroked="f" coordsize="21600,21600" o:gfxdata="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mhdJ90wAAAAMBAAAPAAAAAAAAAAEAIAAAACIAAABkcnMvZG93bnJldi54bWxQSwEC&#10;FAAUAAAACACHTuJADN7LPTICAABVBAAADgAAAAAAAAABACAAAAAiAQAAZHJzL2Uyb0RvYy54bWxQ&#10;SwUGAAAAAAYABgBZAQAAxgUAAAAA&#10;">
              <v:fill on="f" focussize="0,0"/>
              <v:stroke on="f" weight="0.5pt"/>
              <v:imagedata o:title=""/>
              <o:lock v:ext="edit" aspectratio="f"/>
              <v:textbox inset="0mm,0mm,0mm,0mm">
                <w:txbxContent>
                  <w:p>
                    <w:pPr>
                      <w:pStyle w:val="16"/>
                      <w:ind w:firstLine="360"/>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06611037"/>
    </w:sdtPr>
    <w:sdtContent>
      <w:p>
        <w:pPr>
          <w:pStyle w:val="16"/>
          <w:ind w:firstLine="360"/>
          <w:jc w:val="center"/>
        </w:pPr>
        <w:r>
          <w:fldChar w:fldCharType="begin"/>
        </w:r>
        <w:r>
          <w:instrText xml:space="preserve">PAGE   \* MERGEFORMAT</w:instrText>
        </w:r>
        <w:r>
          <w:fldChar w:fldCharType="separate"/>
        </w:r>
        <w:r>
          <w:rPr>
            <w:lang w:val="zh-CN"/>
          </w:rPr>
          <w:t>2</w:t>
        </w:r>
        <w:r>
          <w:fldChar w:fldCharType="end"/>
        </w:r>
      </w:p>
    </w:sdtContent>
  </w:sdt>
  <w:p>
    <w:pPr>
      <w:widowControl/>
      <w:kinsoku w:val="0"/>
      <w:autoSpaceDE w:val="0"/>
      <w:autoSpaceDN w:val="0"/>
      <w:adjustRightInd w:val="0"/>
      <w:snapToGrid w:val="0"/>
      <w:spacing w:line="174" w:lineRule="auto"/>
      <w:ind w:left="4315" w:firstLine="0" w:firstLineChars="0"/>
      <w:jc w:val="left"/>
      <w:textAlignment w:val="baseline"/>
      <w:rPr>
        <w:rFonts w:eastAsia="Times New Roman" w:cs="Times New Roman"/>
        <w:snapToGrid w:val="0"/>
        <w:color w:val="000000"/>
        <w:kern w:val="0"/>
        <w:sz w:val="18"/>
        <w:szCs w:val="18"/>
        <w:lang w:eastAsia="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ind w:firstLine="0" w:firstLineChars="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4EF25E"/>
    <w:multiLevelType w:val="singleLevel"/>
    <w:tmpl w:val="C34EF25E"/>
    <w:lvl w:ilvl="0" w:tentative="0">
      <w:start w:val="1"/>
      <w:numFmt w:val="decimal"/>
      <w:lvlText w:val="%1."/>
      <w:lvlJc w:val="left"/>
      <w:pPr>
        <w:ind w:left="425" w:hanging="425"/>
      </w:pPr>
      <w:rPr>
        <w:rFonts w:hint="default"/>
      </w:rPr>
    </w:lvl>
  </w:abstractNum>
  <w:abstractNum w:abstractNumId="1">
    <w:nsid w:val="3DE32CDF"/>
    <w:multiLevelType w:val="singleLevel"/>
    <w:tmpl w:val="3DE32CDF"/>
    <w:lvl w:ilvl="0" w:tentative="0">
      <w:start w:val="1"/>
      <w:numFmt w:val="decimal"/>
      <w:lvlText w:val="%1."/>
      <w:lvlJc w:val="left"/>
      <w:pPr>
        <w:ind w:left="425" w:hanging="425"/>
      </w:pPr>
      <w:rPr>
        <w:rFonts w:hint="default"/>
      </w:rPr>
    </w:lvl>
  </w:abstractNum>
  <w:abstractNum w:abstractNumId="2">
    <w:nsid w:val="5DCBF19F"/>
    <w:multiLevelType w:val="singleLevel"/>
    <w:tmpl w:val="5DCBF19F"/>
    <w:lvl w:ilvl="0" w:tentative="0">
      <w:start w:val="8"/>
      <w:numFmt w:val="chineseCounting"/>
      <w:suff w:val="space"/>
      <w:lvlText w:val="第%1章"/>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Q3MjdmOWY4NTIxZjQ0OTk5YTFmMDYwN2MwNGQ3MGYifQ=="/>
  </w:docVars>
  <w:rsids>
    <w:rsidRoot w:val="00172A27"/>
    <w:rsid w:val="00001BED"/>
    <w:rsid w:val="00005BD6"/>
    <w:rsid w:val="00037FC1"/>
    <w:rsid w:val="00042C05"/>
    <w:rsid w:val="00043FF9"/>
    <w:rsid w:val="00047E24"/>
    <w:rsid w:val="00057D0E"/>
    <w:rsid w:val="000654B5"/>
    <w:rsid w:val="0007247D"/>
    <w:rsid w:val="00073199"/>
    <w:rsid w:val="00093A20"/>
    <w:rsid w:val="000A67D9"/>
    <w:rsid w:val="000A6FE7"/>
    <w:rsid w:val="000A73CC"/>
    <w:rsid w:val="000B7EE6"/>
    <w:rsid w:val="000C5471"/>
    <w:rsid w:val="000C60B9"/>
    <w:rsid w:val="000D001A"/>
    <w:rsid w:val="000D1199"/>
    <w:rsid w:val="000D239B"/>
    <w:rsid w:val="000D78DB"/>
    <w:rsid w:val="000E0BD6"/>
    <w:rsid w:val="000E62C7"/>
    <w:rsid w:val="000F7635"/>
    <w:rsid w:val="00103F21"/>
    <w:rsid w:val="001316D4"/>
    <w:rsid w:val="001319BA"/>
    <w:rsid w:val="00131EBF"/>
    <w:rsid w:val="00136DEF"/>
    <w:rsid w:val="00150E8F"/>
    <w:rsid w:val="00160566"/>
    <w:rsid w:val="001624CB"/>
    <w:rsid w:val="00162BC1"/>
    <w:rsid w:val="00163AA1"/>
    <w:rsid w:val="001702B0"/>
    <w:rsid w:val="0017195E"/>
    <w:rsid w:val="00172A27"/>
    <w:rsid w:val="0018236E"/>
    <w:rsid w:val="001826B7"/>
    <w:rsid w:val="00191846"/>
    <w:rsid w:val="001B40C7"/>
    <w:rsid w:val="001B5B6C"/>
    <w:rsid w:val="001C34E3"/>
    <w:rsid w:val="001D21A4"/>
    <w:rsid w:val="001D2218"/>
    <w:rsid w:val="001F3A37"/>
    <w:rsid w:val="001F736D"/>
    <w:rsid w:val="00212365"/>
    <w:rsid w:val="00216C07"/>
    <w:rsid w:val="002179A5"/>
    <w:rsid w:val="00221807"/>
    <w:rsid w:val="00222C65"/>
    <w:rsid w:val="00232A35"/>
    <w:rsid w:val="0024264F"/>
    <w:rsid w:val="00246D48"/>
    <w:rsid w:val="00250AB1"/>
    <w:rsid w:val="00257577"/>
    <w:rsid w:val="00260F65"/>
    <w:rsid w:val="0026184F"/>
    <w:rsid w:val="00275A6D"/>
    <w:rsid w:val="00287201"/>
    <w:rsid w:val="002878B5"/>
    <w:rsid w:val="00296479"/>
    <w:rsid w:val="002A0BE6"/>
    <w:rsid w:val="002A4755"/>
    <w:rsid w:val="002A4817"/>
    <w:rsid w:val="002B1649"/>
    <w:rsid w:val="002C1F55"/>
    <w:rsid w:val="002D3A8E"/>
    <w:rsid w:val="002E3FA7"/>
    <w:rsid w:val="002E7572"/>
    <w:rsid w:val="002E7865"/>
    <w:rsid w:val="002F1D46"/>
    <w:rsid w:val="00302B3A"/>
    <w:rsid w:val="003032C1"/>
    <w:rsid w:val="00303E2D"/>
    <w:rsid w:val="003053B7"/>
    <w:rsid w:val="00316C19"/>
    <w:rsid w:val="003369B0"/>
    <w:rsid w:val="00354DD9"/>
    <w:rsid w:val="00373BB6"/>
    <w:rsid w:val="00377813"/>
    <w:rsid w:val="00377F2E"/>
    <w:rsid w:val="003922CE"/>
    <w:rsid w:val="00392B9E"/>
    <w:rsid w:val="00394DCD"/>
    <w:rsid w:val="003A01E4"/>
    <w:rsid w:val="003A5161"/>
    <w:rsid w:val="003B1565"/>
    <w:rsid w:val="003C5381"/>
    <w:rsid w:val="003E169F"/>
    <w:rsid w:val="003E22CC"/>
    <w:rsid w:val="00416002"/>
    <w:rsid w:val="004166F0"/>
    <w:rsid w:val="00422887"/>
    <w:rsid w:val="0042289D"/>
    <w:rsid w:val="00426AD8"/>
    <w:rsid w:val="004466CB"/>
    <w:rsid w:val="00464E11"/>
    <w:rsid w:val="004679D1"/>
    <w:rsid w:val="00473190"/>
    <w:rsid w:val="00476485"/>
    <w:rsid w:val="00490B63"/>
    <w:rsid w:val="004A64DB"/>
    <w:rsid w:val="004A74CB"/>
    <w:rsid w:val="004B0D73"/>
    <w:rsid w:val="004B0DBF"/>
    <w:rsid w:val="004B502D"/>
    <w:rsid w:val="004C0925"/>
    <w:rsid w:val="004C2770"/>
    <w:rsid w:val="004C38B2"/>
    <w:rsid w:val="004E2315"/>
    <w:rsid w:val="004E7973"/>
    <w:rsid w:val="004F099D"/>
    <w:rsid w:val="005015A1"/>
    <w:rsid w:val="00510529"/>
    <w:rsid w:val="00516BC8"/>
    <w:rsid w:val="00541049"/>
    <w:rsid w:val="00551633"/>
    <w:rsid w:val="00551957"/>
    <w:rsid w:val="005609C2"/>
    <w:rsid w:val="00565CC2"/>
    <w:rsid w:val="00567795"/>
    <w:rsid w:val="00575FA9"/>
    <w:rsid w:val="00577EC2"/>
    <w:rsid w:val="0058564A"/>
    <w:rsid w:val="005923AE"/>
    <w:rsid w:val="00592AC1"/>
    <w:rsid w:val="005A4960"/>
    <w:rsid w:val="005C14B8"/>
    <w:rsid w:val="005C347A"/>
    <w:rsid w:val="005C55DE"/>
    <w:rsid w:val="005C7F47"/>
    <w:rsid w:val="005D56B1"/>
    <w:rsid w:val="005E6430"/>
    <w:rsid w:val="005F3F73"/>
    <w:rsid w:val="005F58BC"/>
    <w:rsid w:val="00605FC7"/>
    <w:rsid w:val="00612345"/>
    <w:rsid w:val="006237BC"/>
    <w:rsid w:val="00623ED2"/>
    <w:rsid w:val="006246D5"/>
    <w:rsid w:val="00625277"/>
    <w:rsid w:val="00663E5B"/>
    <w:rsid w:val="00670819"/>
    <w:rsid w:val="0068029A"/>
    <w:rsid w:val="006949B5"/>
    <w:rsid w:val="00696C36"/>
    <w:rsid w:val="006A22CE"/>
    <w:rsid w:val="006A62B7"/>
    <w:rsid w:val="006B28E7"/>
    <w:rsid w:val="006B65DD"/>
    <w:rsid w:val="006B69EF"/>
    <w:rsid w:val="006B79DF"/>
    <w:rsid w:val="006C23E8"/>
    <w:rsid w:val="006C3B4D"/>
    <w:rsid w:val="006C3DED"/>
    <w:rsid w:val="006C65F0"/>
    <w:rsid w:val="006D3506"/>
    <w:rsid w:val="006E1799"/>
    <w:rsid w:val="006E1D34"/>
    <w:rsid w:val="006E61F1"/>
    <w:rsid w:val="006E7E54"/>
    <w:rsid w:val="006F5881"/>
    <w:rsid w:val="006F61BA"/>
    <w:rsid w:val="00700800"/>
    <w:rsid w:val="00705803"/>
    <w:rsid w:val="00706678"/>
    <w:rsid w:val="007112FA"/>
    <w:rsid w:val="00723C76"/>
    <w:rsid w:val="0073068B"/>
    <w:rsid w:val="007452C4"/>
    <w:rsid w:val="00753C56"/>
    <w:rsid w:val="00762545"/>
    <w:rsid w:val="007640D9"/>
    <w:rsid w:val="00785124"/>
    <w:rsid w:val="007973E8"/>
    <w:rsid w:val="007A4B00"/>
    <w:rsid w:val="007B4ACA"/>
    <w:rsid w:val="007D1562"/>
    <w:rsid w:val="007D32E5"/>
    <w:rsid w:val="007D3453"/>
    <w:rsid w:val="007E00E8"/>
    <w:rsid w:val="007E16C3"/>
    <w:rsid w:val="007E30C0"/>
    <w:rsid w:val="00801115"/>
    <w:rsid w:val="00815E83"/>
    <w:rsid w:val="00820F34"/>
    <w:rsid w:val="0082509B"/>
    <w:rsid w:val="00832E29"/>
    <w:rsid w:val="00840B92"/>
    <w:rsid w:val="00840E94"/>
    <w:rsid w:val="0084346A"/>
    <w:rsid w:val="00846622"/>
    <w:rsid w:val="00847EAB"/>
    <w:rsid w:val="00860752"/>
    <w:rsid w:val="00865B84"/>
    <w:rsid w:val="00877DCC"/>
    <w:rsid w:val="00884F33"/>
    <w:rsid w:val="008915F4"/>
    <w:rsid w:val="00891BD6"/>
    <w:rsid w:val="008933D8"/>
    <w:rsid w:val="008A2382"/>
    <w:rsid w:val="008B47DC"/>
    <w:rsid w:val="008B4CFE"/>
    <w:rsid w:val="008B7124"/>
    <w:rsid w:val="008E004E"/>
    <w:rsid w:val="008E2980"/>
    <w:rsid w:val="008F04B6"/>
    <w:rsid w:val="008F668D"/>
    <w:rsid w:val="00906772"/>
    <w:rsid w:val="00910F9E"/>
    <w:rsid w:val="00912FED"/>
    <w:rsid w:val="009147A6"/>
    <w:rsid w:val="0094240D"/>
    <w:rsid w:val="00946DEF"/>
    <w:rsid w:val="0095391D"/>
    <w:rsid w:val="009628D3"/>
    <w:rsid w:val="00970185"/>
    <w:rsid w:val="00975019"/>
    <w:rsid w:val="009756FC"/>
    <w:rsid w:val="00980C9C"/>
    <w:rsid w:val="009838E3"/>
    <w:rsid w:val="0098428D"/>
    <w:rsid w:val="009859D1"/>
    <w:rsid w:val="009878A2"/>
    <w:rsid w:val="00991D6A"/>
    <w:rsid w:val="00992F96"/>
    <w:rsid w:val="009979BF"/>
    <w:rsid w:val="009A1C7E"/>
    <w:rsid w:val="009B2051"/>
    <w:rsid w:val="009B718E"/>
    <w:rsid w:val="009C03C9"/>
    <w:rsid w:val="009C0A54"/>
    <w:rsid w:val="009C4254"/>
    <w:rsid w:val="009D61EC"/>
    <w:rsid w:val="00A02DD6"/>
    <w:rsid w:val="00A220CE"/>
    <w:rsid w:val="00A3228E"/>
    <w:rsid w:val="00A43C01"/>
    <w:rsid w:val="00A51CFA"/>
    <w:rsid w:val="00A52432"/>
    <w:rsid w:val="00A53765"/>
    <w:rsid w:val="00A60F8F"/>
    <w:rsid w:val="00A626C6"/>
    <w:rsid w:val="00A723C9"/>
    <w:rsid w:val="00A73E02"/>
    <w:rsid w:val="00A75569"/>
    <w:rsid w:val="00A75BF0"/>
    <w:rsid w:val="00A82BEB"/>
    <w:rsid w:val="00A83F25"/>
    <w:rsid w:val="00A855C6"/>
    <w:rsid w:val="00AA2201"/>
    <w:rsid w:val="00AA4AE5"/>
    <w:rsid w:val="00AB2195"/>
    <w:rsid w:val="00AB64EF"/>
    <w:rsid w:val="00AC1CC1"/>
    <w:rsid w:val="00AC7E18"/>
    <w:rsid w:val="00AD0559"/>
    <w:rsid w:val="00AE5E99"/>
    <w:rsid w:val="00AF15A9"/>
    <w:rsid w:val="00AF4FE3"/>
    <w:rsid w:val="00B00D99"/>
    <w:rsid w:val="00B010F4"/>
    <w:rsid w:val="00B1121A"/>
    <w:rsid w:val="00B146E8"/>
    <w:rsid w:val="00B17B71"/>
    <w:rsid w:val="00B24BFF"/>
    <w:rsid w:val="00B311DD"/>
    <w:rsid w:val="00B35EA2"/>
    <w:rsid w:val="00B44B0E"/>
    <w:rsid w:val="00B45749"/>
    <w:rsid w:val="00B476C4"/>
    <w:rsid w:val="00B477EB"/>
    <w:rsid w:val="00B53790"/>
    <w:rsid w:val="00B570D6"/>
    <w:rsid w:val="00B61EB6"/>
    <w:rsid w:val="00B62654"/>
    <w:rsid w:val="00B717E1"/>
    <w:rsid w:val="00B73175"/>
    <w:rsid w:val="00B76B04"/>
    <w:rsid w:val="00B85801"/>
    <w:rsid w:val="00B9473F"/>
    <w:rsid w:val="00B97CC9"/>
    <w:rsid w:val="00BA2DCF"/>
    <w:rsid w:val="00BB0B95"/>
    <w:rsid w:val="00BB714D"/>
    <w:rsid w:val="00BC18C9"/>
    <w:rsid w:val="00BD2108"/>
    <w:rsid w:val="00BD2B76"/>
    <w:rsid w:val="00BE1D67"/>
    <w:rsid w:val="00BF1AEA"/>
    <w:rsid w:val="00BF63F4"/>
    <w:rsid w:val="00C02028"/>
    <w:rsid w:val="00C05399"/>
    <w:rsid w:val="00C05561"/>
    <w:rsid w:val="00C11F3E"/>
    <w:rsid w:val="00C1341F"/>
    <w:rsid w:val="00C20DC8"/>
    <w:rsid w:val="00C22F84"/>
    <w:rsid w:val="00C249EC"/>
    <w:rsid w:val="00C26A89"/>
    <w:rsid w:val="00C442EA"/>
    <w:rsid w:val="00C4656A"/>
    <w:rsid w:val="00C52F41"/>
    <w:rsid w:val="00C6065A"/>
    <w:rsid w:val="00C61301"/>
    <w:rsid w:val="00C659F5"/>
    <w:rsid w:val="00C65A42"/>
    <w:rsid w:val="00C7433A"/>
    <w:rsid w:val="00C74563"/>
    <w:rsid w:val="00C8519A"/>
    <w:rsid w:val="00C9321F"/>
    <w:rsid w:val="00C96D15"/>
    <w:rsid w:val="00C9797F"/>
    <w:rsid w:val="00CB41C8"/>
    <w:rsid w:val="00CB682A"/>
    <w:rsid w:val="00CC321B"/>
    <w:rsid w:val="00CC336F"/>
    <w:rsid w:val="00CC3CD5"/>
    <w:rsid w:val="00CC4450"/>
    <w:rsid w:val="00CD68D6"/>
    <w:rsid w:val="00CE6BEA"/>
    <w:rsid w:val="00CE6D68"/>
    <w:rsid w:val="00CE7E1B"/>
    <w:rsid w:val="00CF378A"/>
    <w:rsid w:val="00D01480"/>
    <w:rsid w:val="00D040F4"/>
    <w:rsid w:val="00D21F93"/>
    <w:rsid w:val="00D23D78"/>
    <w:rsid w:val="00D257BE"/>
    <w:rsid w:val="00D3370F"/>
    <w:rsid w:val="00D34C24"/>
    <w:rsid w:val="00D37A68"/>
    <w:rsid w:val="00D45420"/>
    <w:rsid w:val="00D51F80"/>
    <w:rsid w:val="00D5211E"/>
    <w:rsid w:val="00D563E5"/>
    <w:rsid w:val="00D62001"/>
    <w:rsid w:val="00D7244C"/>
    <w:rsid w:val="00D73DAA"/>
    <w:rsid w:val="00D77409"/>
    <w:rsid w:val="00D83B98"/>
    <w:rsid w:val="00D90E0C"/>
    <w:rsid w:val="00DA6543"/>
    <w:rsid w:val="00DA6A40"/>
    <w:rsid w:val="00DA7B78"/>
    <w:rsid w:val="00DB093A"/>
    <w:rsid w:val="00DB3388"/>
    <w:rsid w:val="00DB66F4"/>
    <w:rsid w:val="00DB7B2B"/>
    <w:rsid w:val="00DC2CC6"/>
    <w:rsid w:val="00DC46AE"/>
    <w:rsid w:val="00DD2B3E"/>
    <w:rsid w:val="00DD3091"/>
    <w:rsid w:val="00DD609D"/>
    <w:rsid w:val="00DF0D47"/>
    <w:rsid w:val="00DF2E6C"/>
    <w:rsid w:val="00DF65CD"/>
    <w:rsid w:val="00E006D0"/>
    <w:rsid w:val="00E01F00"/>
    <w:rsid w:val="00E2469D"/>
    <w:rsid w:val="00E264C5"/>
    <w:rsid w:val="00E276E0"/>
    <w:rsid w:val="00E32006"/>
    <w:rsid w:val="00E369BB"/>
    <w:rsid w:val="00E47641"/>
    <w:rsid w:val="00E5046A"/>
    <w:rsid w:val="00E509E7"/>
    <w:rsid w:val="00E55CE8"/>
    <w:rsid w:val="00E61B21"/>
    <w:rsid w:val="00E642BE"/>
    <w:rsid w:val="00E90D8D"/>
    <w:rsid w:val="00E9100F"/>
    <w:rsid w:val="00E93A66"/>
    <w:rsid w:val="00EA65E0"/>
    <w:rsid w:val="00EB0AFF"/>
    <w:rsid w:val="00EB4F9D"/>
    <w:rsid w:val="00EC14DA"/>
    <w:rsid w:val="00EC5289"/>
    <w:rsid w:val="00EC785D"/>
    <w:rsid w:val="00ED18B4"/>
    <w:rsid w:val="00EE01E6"/>
    <w:rsid w:val="00EF3536"/>
    <w:rsid w:val="00EF420F"/>
    <w:rsid w:val="00F10A15"/>
    <w:rsid w:val="00F10A3B"/>
    <w:rsid w:val="00F1445C"/>
    <w:rsid w:val="00F151B0"/>
    <w:rsid w:val="00F16D55"/>
    <w:rsid w:val="00F26951"/>
    <w:rsid w:val="00F350CC"/>
    <w:rsid w:val="00F402DE"/>
    <w:rsid w:val="00F46117"/>
    <w:rsid w:val="00F51F78"/>
    <w:rsid w:val="00F54D00"/>
    <w:rsid w:val="00F606EF"/>
    <w:rsid w:val="00F705B8"/>
    <w:rsid w:val="00F72F4F"/>
    <w:rsid w:val="00F743CE"/>
    <w:rsid w:val="00F74BFD"/>
    <w:rsid w:val="00F765B7"/>
    <w:rsid w:val="00F7721F"/>
    <w:rsid w:val="00F84466"/>
    <w:rsid w:val="00F85013"/>
    <w:rsid w:val="00F9032E"/>
    <w:rsid w:val="00F950C6"/>
    <w:rsid w:val="00FA4885"/>
    <w:rsid w:val="00FA4B5F"/>
    <w:rsid w:val="00FA7E15"/>
    <w:rsid w:val="00FB14B9"/>
    <w:rsid w:val="00FB7484"/>
    <w:rsid w:val="00FB762A"/>
    <w:rsid w:val="00FC14E1"/>
    <w:rsid w:val="00FC4FBD"/>
    <w:rsid w:val="00FD0D74"/>
    <w:rsid w:val="00FD0E32"/>
    <w:rsid w:val="00FD181D"/>
    <w:rsid w:val="00FD76DA"/>
    <w:rsid w:val="00FE22A5"/>
    <w:rsid w:val="00FE49DE"/>
    <w:rsid w:val="00FF5528"/>
    <w:rsid w:val="01066A48"/>
    <w:rsid w:val="01CC7C92"/>
    <w:rsid w:val="01EF674F"/>
    <w:rsid w:val="01F97089"/>
    <w:rsid w:val="02425B4D"/>
    <w:rsid w:val="028F6C5B"/>
    <w:rsid w:val="0297204E"/>
    <w:rsid w:val="02A96D5C"/>
    <w:rsid w:val="02AA5382"/>
    <w:rsid w:val="02C90C33"/>
    <w:rsid w:val="033B50CF"/>
    <w:rsid w:val="036A08BE"/>
    <w:rsid w:val="037979A5"/>
    <w:rsid w:val="037E5DCB"/>
    <w:rsid w:val="037E6D6A"/>
    <w:rsid w:val="039F085D"/>
    <w:rsid w:val="03A25ED9"/>
    <w:rsid w:val="03A82039"/>
    <w:rsid w:val="03C74BB5"/>
    <w:rsid w:val="03CE65BE"/>
    <w:rsid w:val="0422003D"/>
    <w:rsid w:val="04221DEB"/>
    <w:rsid w:val="042A0CA0"/>
    <w:rsid w:val="04461D85"/>
    <w:rsid w:val="044F1935"/>
    <w:rsid w:val="045126D0"/>
    <w:rsid w:val="04702B56"/>
    <w:rsid w:val="05235E1B"/>
    <w:rsid w:val="053C1065"/>
    <w:rsid w:val="0577254F"/>
    <w:rsid w:val="05860158"/>
    <w:rsid w:val="05861391"/>
    <w:rsid w:val="05B46AE9"/>
    <w:rsid w:val="062F39C8"/>
    <w:rsid w:val="067B57E2"/>
    <w:rsid w:val="06935222"/>
    <w:rsid w:val="069E68B6"/>
    <w:rsid w:val="06B050AF"/>
    <w:rsid w:val="06C27D98"/>
    <w:rsid w:val="06E273A0"/>
    <w:rsid w:val="06F217E2"/>
    <w:rsid w:val="0708351A"/>
    <w:rsid w:val="07097292"/>
    <w:rsid w:val="0717188E"/>
    <w:rsid w:val="07341AD0"/>
    <w:rsid w:val="07612C2A"/>
    <w:rsid w:val="07827A92"/>
    <w:rsid w:val="078D1C71"/>
    <w:rsid w:val="07B069B5"/>
    <w:rsid w:val="07DC0503"/>
    <w:rsid w:val="07E850FA"/>
    <w:rsid w:val="07F04696"/>
    <w:rsid w:val="07F7358F"/>
    <w:rsid w:val="07FB7E85"/>
    <w:rsid w:val="0828199A"/>
    <w:rsid w:val="08326375"/>
    <w:rsid w:val="08594F7B"/>
    <w:rsid w:val="086C7AD9"/>
    <w:rsid w:val="0A00497C"/>
    <w:rsid w:val="0A0855DF"/>
    <w:rsid w:val="0A214CEF"/>
    <w:rsid w:val="0A5103F3"/>
    <w:rsid w:val="0A585FC4"/>
    <w:rsid w:val="0A785AB4"/>
    <w:rsid w:val="0A870BFA"/>
    <w:rsid w:val="0A9E5111"/>
    <w:rsid w:val="0AE37F57"/>
    <w:rsid w:val="0AEE3AE8"/>
    <w:rsid w:val="0AF24006"/>
    <w:rsid w:val="0B087CA5"/>
    <w:rsid w:val="0B293A5F"/>
    <w:rsid w:val="0B3E19A6"/>
    <w:rsid w:val="0B6D172F"/>
    <w:rsid w:val="0C4F1BEB"/>
    <w:rsid w:val="0C592908"/>
    <w:rsid w:val="0C594818"/>
    <w:rsid w:val="0C742A23"/>
    <w:rsid w:val="0C931AD8"/>
    <w:rsid w:val="0C935725"/>
    <w:rsid w:val="0CC244A5"/>
    <w:rsid w:val="0CE6043A"/>
    <w:rsid w:val="0CF20AD8"/>
    <w:rsid w:val="0D1644B7"/>
    <w:rsid w:val="0D5C45C0"/>
    <w:rsid w:val="0D71793F"/>
    <w:rsid w:val="0D8B0823"/>
    <w:rsid w:val="0D916C42"/>
    <w:rsid w:val="0D98311E"/>
    <w:rsid w:val="0DA32324"/>
    <w:rsid w:val="0DC94CD9"/>
    <w:rsid w:val="0E383C14"/>
    <w:rsid w:val="0E453C82"/>
    <w:rsid w:val="0E4C42D5"/>
    <w:rsid w:val="0E9063F4"/>
    <w:rsid w:val="0E963B01"/>
    <w:rsid w:val="0EBA54D7"/>
    <w:rsid w:val="0F4101D8"/>
    <w:rsid w:val="0F8120BC"/>
    <w:rsid w:val="0F900551"/>
    <w:rsid w:val="100D1BA1"/>
    <w:rsid w:val="101175B4"/>
    <w:rsid w:val="10501A8E"/>
    <w:rsid w:val="105552F6"/>
    <w:rsid w:val="10745C0B"/>
    <w:rsid w:val="107514F4"/>
    <w:rsid w:val="10C51D09"/>
    <w:rsid w:val="10DA551B"/>
    <w:rsid w:val="11060BE3"/>
    <w:rsid w:val="11100B16"/>
    <w:rsid w:val="111725AC"/>
    <w:rsid w:val="1191235E"/>
    <w:rsid w:val="11916802"/>
    <w:rsid w:val="11CB49B0"/>
    <w:rsid w:val="11CE5360"/>
    <w:rsid w:val="11D04714"/>
    <w:rsid w:val="11DB546C"/>
    <w:rsid w:val="11E542EB"/>
    <w:rsid w:val="125F245C"/>
    <w:rsid w:val="127952CC"/>
    <w:rsid w:val="12C549B5"/>
    <w:rsid w:val="12FD7646"/>
    <w:rsid w:val="13607578"/>
    <w:rsid w:val="13612374"/>
    <w:rsid w:val="1364723A"/>
    <w:rsid w:val="136C6BDF"/>
    <w:rsid w:val="138E04D9"/>
    <w:rsid w:val="13A6380B"/>
    <w:rsid w:val="13A742FF"/>
    <w:rsid w:val="13D16065"/>
    <w:rsid w:val="13D86770"/>
    <w:rsid w:val="145A2EDB"/>
    <w:rsid w:val="14A625C4"/>
    <w:rsid w:val="14AC4901"/>
    <w:rsid w:val="14D233B9"/>
    <w:rsid w:val="14FD4164"/>
    <w:rsid w:val="151702A5"/>
    <w:rsid w:val="154D47EE"/>
    <w:rsid w:val="15610EEA"/>
    <w:rsid w:val="15A540F4"/>
    <w:rsid w:val="15C6423D"/>
    <w:rsid w:val="16272BFF"/>
    <w:rsid w:val="16386068"/>
    <w:rsid w:val="16461969"/>
    <w:rsid w:val="16584516"/>
    <w:rsid w:val="167A1613"/>
    <w:rsid w:val="168C05C7"/>
    <w:rsid w:val="17084E70"/>
    <w:rsid w:val="178070FD"/>
    <w:rsid w:val="17E504C6"/>
    <w:rsid w:val="17F90C5D"/>
    <w:rsid w:val="17FE2140"/>
    <w:rsid w:val="180C007E"/>
    <w:rsid w:val="183369F2"/>
    <w:rsid w:val="18381785"/>
    <w:rsid w:val="188A728D"/>
    <w:rsid w:val="18B708FC"/>
    <w:rsid w:val="18E46663"/>
    <w:rsid w:val="18E67566"/>
    <w:rsid w:val="18FA6A3B"/>
    <w:rsid w:val="19831126"/>
    <w:rsid w:val="198509FA"/>
    <w:rsid w:val="1990114D"/>
    <w:rsid w:val="19E36BBE"/>
    <w:rsid w:val="19E5593D"/>
    <w:rsid w:val="19E576EB"/>
    <w:rsid w:val="1A1C6E7F"/>
    <w:rsid w:val="1A2225F6"/>
    <w:rsid w:val="1A312930"/>
    <w:rsid w:val="1A64685F"/>
    <w:rsid w:val="1A8075B5"/>
    <w:rsid w:val="1AB05F4B"/>
    <w:rsid w:val="1AD00F14"/>
    <w:rsid w:val="1ADA6B24"/>
    <w:rsid w:val="1B483E88"/>
    <w:rsid w:val="1B610FF3"/>
    <w:rsid w:val="1B6D1746"/>
    <w:rsid w:val="1B7C7BDB"/>
    <w:rsid w:val="1B8756CA"/>
    <w:rsid w:val="1B886580"/>
    <w:rsid w:val="1BF97891"/>
    <w:rsid w:val="1C146065"/>
    <w:rsid w:val="1C1C4F1A"/>
    <w:rsid w:val="1C9179B7"/>
    <w:rsid w:val="1CD17D33"/>
    <w:rsid w:val="1CD36463"/>
    <w:rsid w:val="1CDD1719"/>
    <w:rsid w:val="1CF25C4B"/>
    <w:rsid w:val="1CFE11EF"/>
    <w:rsid w:val="1CFE3472"/>
    <w:rsid w:val="1D915DB7"/>
    <w:rsid w:val="1D9E208B"/>
    <w:rsid w:val="1DAA4A53"/>
    <w:rsid w:val="1DC8425E"/>
    <w:rsid w:val="1E3C702F"/>
    <w:rsid w:val="1E5D0198"/>
    <w:rsid w:val="1E9719ED"/>
    <w:rsid w:val="1EAF02C7"/>
    <w:rsid w:val="1EB223D0"/>
    <w:rsid w:val="1EE53CE9"/>
    <w:rsid w:val="1F1D79C0"/>
    <w:rsid w:val="1F2667DB"/>
    <w:rsid w:val="1F38206B"/>
    <w:rsid w:val="1F7F525F"/>
    <w:rsid w:val="1F9C084C"/>
    <w:rsid w:val="1FA63478"/>
    <w:rsid w:val="1FAB6CE1"/>
    <w:rsid w:val="20294D50"/>
    <w:rsid w:val="202950A1"/>
    <w:rsid w:val="202D067B"/>
    <w:rsid w:val="209F78FF"/>
    <w:rsid w:val="20D363DF"/>
    <w:rsid w:val="20E74192"/>
    <w:rsid w:val="210A39A9"/>
    <w:rsid w:val="21156B08"/>
    <w:rsid w:val="21877722"/>
    <w:rsid w:val="21915C55"/>
    <w:rsid w:val="21DE2CD4"/>
    <w:rsid w:val="21E02496"/>
    <w:rsid w:val="21E32762"/>
    <w:rsid w:val="221D6C27"/>
    <w:rsid w:val="221F5B84"/>
    <w:rsid w:val="222350E6"/>
    <w:rsid w:val="223C1E72"/>
    <w:rsid w:val="226B45C3"/>
    <w:rsid w:val="22D64075"/>
    <w:rsid w:val="22DA1DB7"/>
    <w:rsid w:val="22FA440B"/>
    <w:rsid w:val="23056708"/>
    <w:rsid w:val="230C0E16"/>
    <w:rsid w:val="23285C9F"/>
    <w:rsid w:val="23340F91"/>
    <w:rsid w:val="234E4553"/>
    <w:rsid w:val="23E14786"/>
    <w:rsid w:val="24032927"/>
    <w:rsid w:val="240D3AC6"/>
    <w:rsid w:val="247E49C4"/>
    <w:rsid w:val="248B0E8F"/>
    <w:rsid w:val="24A00DDE"/>
    <w:rsid w:val="24AC7783"/>
    <w:rsid w:val="24C70119"/>
    <w:rsid w:val="24D26ABE"/>
    <w:rsid w:val="24DF4095"/>
    <w:rsid w:val="25457290"/>
    <w:rsid w:val="254F010E"/>
    <w:rsid w:val="255816B9"/>
    <w:rsid w:val="257B150D"/>
    <w:rsid w:val="25870924"/>
    <w:rsid w:val="258F2F8F"/>
    <w:rsid w:val="259D3570"/>
    <w:rsid w:val="26086C3B"/>
    <w:rsid w:val="26197434"/>
    <w:rsid w:val="265B72EC"/>
    <w:rsid w:val="267F4B81"/>
    <w:rsid w:val="26A5448A"/>
    <w:rsid w:val="26F503F5"/>
    <w:rsid w:val="27CF4492"/>
    <w:rsid w:val="27CF7F2E"/>
    <w:rsid w:val="27D25752"/>
    <w:rsid w:val="27E64D5A"/>
    <w:rsid w:val="27F05BD9"/>
    <w:rsid w:val="282A00D8"/>
    <w:rsid w:val="28444D2B"/>
    <w:rsid w:val="287C746C"/>
    <w:rsid w:val="28940B9C"/>
    <w:rsid w:val="28A46630"/>
    <w:rsid w:val="28A95D87"/>
    <w:rsid w:val="28BC3D0D"/>
    <w:rsid w:val="28EF6DDD"/>
    <w:rsid w:val="294865A2"/>
    <w:rsid w:val="29BC5102"/>
    <w:rsid w:val="29CA2459"/>
    <w:rsid w:val="29D70DFB"/>
    <w:rsid w:val="29F66220"/>
    <w:rsid w:val="2A3A1445"/>
    <w:rsid w:val="2A554419"/>
    <w:rsid w:val="2A755C4F"/>
    <w:rsid w:val="2A954815"/>
    <w:rsid w:val="2AA31299"/>
    <w:rsid w:val="2AE44E77"/>
    <w:rsid w:val="2B1C4BAB"/>
    <w:rsid w:val="2B2C517A"/>
    <w:rsid w:val="2B536BAA"/>
    <w:rsid w:val="2B9D3E32"/>
    <w:rsid w:val="2C637962"/>
    <w:rsid w:val="2CA62764"/>
    <w:rsid w:val="2CDA59AC"/>
    <w:rsid w:val="2CF972DD"/>
    <w:rsid w:val="2D0363AE"/>
    <w:rsid w:val="2D072A48"/>
    <w:rsid w:val="2D320A41"/>
    <w:rsid w:val="2D3D2650"/>
    <w:rsid w:val="2D48704E"/>
    <w:rsid w:val="2D55028C"/>
    <w:rsid w:val="2D5E4762"/>
    <w:rsid w:val="2D60110A"/>
    <w:rsid w:val="2D686211"/>
    <w:rsid w:val="2DD87356"/>
    <w:rsid w:val="2DE236E4"/>
    <w:rsid w:val="2E224612"/>
    <w:rsid w:val="2E3A7BAD"/>
    <w:rsid w:val="2E446636"/>
    <w:rsid w:val="2E47051C"/>
    <w:rsid w:val="2E6B5FB9"/>
    <w:rsid w:val="2E9574DA"/>
    <w:rsid w:val="2F13311D"/>
    <w:rsid w:val="2F364819"/>
    <w:rsid w:val="2FA31782"/>
    <w:rsid w:val="2FBE480E"/>
    <w:rsid w:val="2FC4446C"/>
    <w:rsid w:val="2FD32E1B"/>
    <w:rsid w:val="302E3742"/>
    <w:rsid w:val="3050460D"/>
    <w:rsid w:val="30D836AE"/>
    <w:rsid w:val="30DD6F16"/>
    <w:rsid w:val="311739E6"/>
    <w:rsid w:val="31411253"/>
    <w:rsid w:val="318F0210"/>
    <w:rsid w:val="31912BEC"/>
    <w:rsid w:val="31B21CC2"/>
    <w:rsid w:val="31B9215A"/>
    <w:rsid w:val="31BB042E"/>
    <w:rsid w:val="3210431B"/>
    <w:rsid w:val="32171FB4"/>
    <w:rsid w:val="3225579E"/>
    <w:rsid w:val="322E7A29"/>
    <w:rsid w:val="328C518E"/>
    <w:rsid w:val="329D6EF6"/>
    <w:rsid w:val="32EE1E26"/>
    <w:rsid w:val="32FA3DAF"/>
    <w:rsid w:val="335A5FD5"/>
    <w:rsid w:val="33737F1D"/>
    <w:rsid w:val="33784CD4"/>
    <w:rsid w:val="33985B62"/>
    <w:rsid w:val="339F04B3"/>
    <w:rsid w:val="33F06D58"/>
    <w:rsid w:val="33F20F2A"/>
    <w:rsid w:val="34164C19"/>
    <w:rsid w:val="34275225"/>
    <w:rsid w:val="34A02734"/>
    <w:rsid w:val="34D33913"/>
    <w:rsid w:val="34E97C37"/>
    <w:rsid w:val="35020E47"/>
    <w:rsid w:val="35A8399D"/>
    <w:rsid w:val="35B45B31"/>
    <w:rsid w:val="35BC17F0"/>
    <w:rsid w:val="35DA3A24"/>
    <w:rsid w:val="35FC1BEC"/>
    <w:rsid w:val="361511BB"/>
    <w:rsid w:val="363870C8"/>
    <w:rsid w:val="367F4CF7"/>
    <w:rsid w:val="36AA2F88"/>
    <w:rsid w:val="36F01751"/>
    <w:rsid w:val="373359FD"/>
    <w:rsid w:val="3757357E"/>
    <w:rsid w:val="375C6DE7"/>
    <w:rsid w:val="3793624F"/>
    <w:rsid w:val="37A428A7"/>
    <w:rsid w:val="37B11AF0"/>
    <w:rsid w:val="37BE184F"/>
    <w:rsid w:val="37C655BF"/>
    <w:rsid w:val="37C96BE1"/>
    <w:rsid w:val="37D239B4"/>
    <w:rsid w:val="380134EA"/>
    <w:rsid w:val="3809669F"/>
    <w:rsid w:val="384635F3"/>
    <w:rsid w:val="385B0CA1"/>
    <w:rsid w:val="3861141D"/>
    <w:rsid w:val="38801CBB"/>
    <w:rsid w:val="38942863"/>
    <w:rsid w:val="38CB3CC5"/>
    <w:rsid w:val="39A6259B"/>
    <w:rsid w:val="39BA1BA2"/>
    <w:rsid w:val="3A145757"/>
    <w:rsid w:val="3A4D6EBA"/>
    <w:rsid w:val="3A687850"/>
    <w:rsid w:val="3AF410E4"/>
    <w:rsid w:val="3B0208C7"/>
    <w:rsid w:val="3BA448B8"/>
    <w:rsid w:val="3BB15227"/>
    <w:rsid w:val="3BC44F5A"/>
    <w:rsid w:val="3BDC6748"/>
    <w:rsid w:val="3C681D8A"/>
    <w:rsid w:val="3C776471"/>
    <w:rsid w:val="3C7E335B"/>
    <w:rsid w:val="3C813512"/>
    <w:rsid w:val="3CF63EA9"/>
    <w:rsid w:val="3D155D83"/>
    <w:rsid w:val="3D9267FC"/>
    <w:rsid w:val="3DD178A0"/>
    <w:rsid w:val="3DF17B5D"/>
    <w:rsid w:val="3DFF4187"/>
    <w:rsid w:val="3DFF6D37"/>
    <w:rsid w:val="3E202D62"/>
    <w:rsid w:val="3E2972F7"/>
    <w:rsid w:val="3E38205E"/>
    <w:rsid w:val="3E4B3711"/>
    <w:rsid w:val="3E4B54BF"/>
    <w:rsid w:val="3E5C3B5C"/>
    <w:rsid w:val="3E696A9E"/>
    <w:rsid w:val="3E7937F4"/>
    <w:rsid w:val="3EA13331"/>
    <w:rsid w:val="3EAB2402"/>
    <w:rsid w:val="3EB43064"/>
    <w:rsid w:val="3EF313C9"/>
    <w:rsid w:val="3EF77455"/>
    <w:rsid w:val="3F4563B2"/>
    <w:rsid w:val="3F756BE7"/>
    <w:rsid w:val="3FA0183A"/>
    <w:rsid w:val="401B7113"/>
    <w:rsid w:val="40280130"/>
    <w:rsid w:val="40333B62"/>
    <w:rsid w:val="403D352D"/>
    <w:rsid w:val="407C4056"/>
    <w:rsid w:val="408353E4"/>
    <w:rsid w:val="408C153D"/>
    <w:rsid w:val="408D0011"/>
    <w:rsid w:val="41390199"/>
    <w:rsid w:val="41532BDD"/>
    <w:rsid w:val="41B45A71"/>
    <w:rsid w:val="41D43A1D"/>
    <w:rsid w:val="41F36599"/>
    <w:rsid w:val="42010CB6"/>
    <w:rsid w:val="424E5C85"/>
    <w:rsid w:val="425C6F5E"/>
    <w:rsid w:val="427B308C"/>
    <w:rsid w:val="428258FD"/>
    <w:rsid w:val="42832614"/>
    <w:rsid w:val="42A258CA"/>
    <w:rsid w:val="42AD752A"/>
    <w:rsid w:val="42BE3FC2"/>
    <w:rsid w:val="42D82ACE"/>
    <w:rsid w:val="42F8373B"/>
    <w:rsid w:val="4316322B"/>
    <w:rsid w:val="435C7CCA"/>
    <w:rsid w:val="43B14016"/>
    <w:rsid w:val="43BC29BB"/>
    <w:rsid w:val="43F073D5"/>
    <w:rsid w:val="43F559D6"/>
    <w:rsid w:val="43FF1E7A"/>
    <w:rsid w:val="440B18C9"/>
    <w:rsid w:val="442C7B41"/>
    <w:rsid w:val="44982EBA"/>
    <w:rsid w:val="44ED437B"/>
    <w:rsid w:val="452D1DC2"/>
    <w:rsid w:val="45941E41"/>
    <w:rsid w:val="45D305F2"/>
    <w:rsid w:val="46045951"/>
    <w:rsid w:val="46161F92"/>
    <w:rsid w:val="46207231"/>
    <w:rsid w:val="466730B2"/>
    <w:rsid w:val="467C684E"/>
    <w:rsid w:val="4685178A"/>
    <w:rsid w:val="469C370A"/>
    <w:rsid w:val="46C045C0"/>
    <w:rsid w:val="46E01CFE"/>
    <w:rsid w:val="4752519D"/>
    <w:rsid w:val="475719EA"/>
    <w:rsid w:val="476E221E"/>
    <w:rsid w:val="47B440D5"/>
    <w:rsid w:val="47EF7803"/>
    <w:rsid w:val="480D1A37"/>
    <w:rsid w:val="48254FD3"/>
    <w:rsid w:val="48AF181C"/>
    <w:rsid w:val="48C42EA1"/>
    <w:rsid w:val="48C77DB0"/>
    <w:rsid w:val="48D91C00"/>
    <w:rsid w:val="490E1F0B"/>
    <w:rsid w:val="494D658F"/>
    <w:rsid w:val="498D4320"/>
    <w:rsid w:val="49943472"/>
    <w:rsid w:val="49E30CA1"/>
    <w:rsid w:val="4A3B2A23"/>
    <w:rsid w:val="4A8452CD"/>
    <w:rsid w:val="4A8F22F0"/>
    <w:rsid w:val="4A9D52F4"/>
    <w:rsid w:val="4A9E7039"/>
    <w:rsid w:val="4ACF1294"/>
    <w:rsid w:val="4AD625B4"/>
    <w:rsid w:val="4B502367"/>
    <w:rsid w:val="4BE1327E"/>
    <w:rsid w:val="4BE86A43"/>
    <w:rsid w:val="4C0812DC"/>
    <w:rsid w:val="4C410B9E"/>
    <w:rsid w:val="4C4D7146"/>
    <w:rsid w:val="4C6C6D5B"/>
    <w:rsid w:val="4C7E73A7"/>
    <w:rsid w:val="4CD07C03"/>
    <w:rsid w:val="4D006DAB"/>
    <w:rsid w:val="4D2A383B"/>
    <w:rsid w:val="4D5A3970"/>
    <w:rsid w:val="4D6C0FAE"/>
    <w:rsid w:val="4D70684F"/>
    <w:rsid w:val="4D97086B"/>
    <w:rsid w:val="4DE85EE5"/>
    <w:rsid w:val="4DF96CE5"/>
    <w:rsid w:val="4E20793F"/>
    <w:rsid w:val="4E28581D"/>
    <w:rsid w:val="4E2A4843"/>
    <w:rsid w:val="4E3E0EF8"/>
    <w:rsid w:val="4E430FEA"/>
    <w:rsid w:val="4E8567CB"/>
    <w:rsid w:val="4E9F5852"/>
    <w:rsid w:val="4EA07161"/>
    <w:rsid w:val="4F0172B8"/>
    <w:rsid w:val="4F10619D"/>
    <w:rsid w:val="4F21000F"/>
    <w:rsid w:val="4F3D2C02"/>
    <w:rsid w:val="4F5143A4"/>
    <w:rsid w:val="4F6E487D"/>
    <w:rsid w:val="4F8A0A6E"/>
    <w:rsid w:val="4F93316A"/>
    <w:rsid w:val="4F9A0054"/>
    <w:rsid w:val="4FA9473B"/>
    <w:rsid w:val="4FB530E0"/>
    <w:rsid w:val="4FD35314"/>
    <w:rsid w:val="4FDF63AF"/>
    <w:rsid w:val="508F2144"/>
    <w:rsid w:val="50BB14D7"/>
    <w:rsid w:val="50D21A70"/>
    <w:rsid w:val="50E579F5"/>
    <w:rsid w:val="50EF5FC0"/>
    <w:rsid w:val="51045D31"/>
    <w:rsid w:val="5167040A"/>
    <w:rsid w:val="517074AC"/>
    <w:rsid w:val="51733EAB"/>
    <w:rsid w:val="517652FF"/>
    <w:rsid w:val="518B407F"/>
    <w:rsid w:val="51A9286C"/>
    <w:rsid w:val="51DF25F7"/>
    <w:rsid w:val="51E611C2"/>
    <w:rsid w:val="51F12476"/>
    <w:rsid w:val="521D4F6D"/>
    <w:rsid w:val="53373E0C"/>
    <w:rsid w:val="53426A39"/>
    <w:rsid w:val="534A1D91"/>
    <w:rsid w:val="53AE40CE"/>
    <w:rsid w:val="53C61780"/>
    <w:rsid w:val="53CE29C2"/>
    <w:rsid w:val="544A24B4"/>
    <w:rsid w:val="54686973"/>
    <w:rsid w:val="54721C8A"/>
    <w:rsid w:val="547558FB"/>
    <w:rsid w:val="549B548E"/>
    <w:rsid w:val="54FB77E7"/>
    <w:rsid w:val="55067F3A"/>
    <w:rsid w:val="550F4F0F"/>
    <w:rsid w:val="55222FC6"/>
    <w:rsid w:val="554068BB"/>
    <w:rsid w:val="5563538C"/>
    <w:rsid w:val="556F5FA3"/>
    <w:rsid w:val="55A1776B"/>
    <w:rsid w:val="55A41C2D"/>
    <w:rsid w:val="55AA021B"/>
    <w:rsid w:val="55D41DE6"/>
    <w:rsid w:val="55DC0362"/>
    <w:rsid w:val="562543F0"/>
    <w:rsid w:val="564A0AC3"/>
    <w:rsid w:val="567F7FA4"/>
    <w:rsid w:val="569255DA"/>
    <w:rsid w:val="56F12761"/>
    <w:rsid w:val="570023E4"/>
    <w:rsid w:val="57457BEC"/>
    <w:rsid w:val="5753390A"/>
    <w:rsid w:val="577F25AA"/>
    <w:rsid w:val="57B65C47"/>
    <w:rsid w:val="57E04A72"/>
    <w:rsid w:val="586236D9"/>
    <w:rsid w:val="58647451"/>
    <w:rsid w:val="58676F42"/>
    <w:rsid w:val="589213B8"/>
    <w:rsid w:val="58B275FE"/>
    <w:rsid w:val="58DD011A"/>
    <w:rsid w:val="5916554A"/>
    <w:rsid w:val="593A182D"/>
    <w:rsid w:val="5944662D"/>
    <w:rsid w:val="599942FB"/>
    <w:rsid w:val="59B864D2"/>
    <w:rsid w:val="59BA73AE"/>
    <w:rsid w:val="59D02CF6"/>
    <w:rsid w:val="59D46859"/>
    <w:rsid w:val="59D86349"/>
    <w:rsid w:val="5A427C66"/>
    <w:rsid w:val="5A4802D8"/>
    <w:rsid w:val="5A902780"/>
    <w:rsid w:val="5A9547E9"/>
    <w:rsid w:val="5B215ACE"/>
    <w:rsid w:val="5B6A7475"/>
    <w:rsid w:val="5B765E19"/>
    <w:rsid w:val="5B964F58"/>
    <w:rsid w:val="5BB658B1"/>
    <w:rsid w:val="5C133B79"/>
    <w:rsid w:val="5C197850"/>
    <w:rsid w:val="5C427808"/>
    <w:rsid w:val="5C4C0928"/>
    <w:rsid w:val="5C5B6DBD"/>
    <w:rsid w:val="5C6E6AF1"/>
    <w:rsid w:val="5C717683"/>
    <w:rsid w:val="5C8E717C"/>
    <w:rsid w:val="5CA05E49"/>
    <w:rsid w:val="5CB01320"/>
    <w:rsid w:val="5CC50724"/>
    <w:rsid w:val="5D096819"/>
    <w:rsid w:val="5D577585"/>
    <w:rsid w:val="5D641CA2"/>
    <w:rsid w:val="5D7A7717"/>
    <w:rsid w:val="5D997B9D"/>
    <w:rsid w:val="5DA74753"/>
    <w:rsid w:val="5DE11544"/>
    <w:rsid w:val="5DE87213"/>
    <w:rsid w:val="5E453881"/>
    <w:rsid w:val="5E767EDE"/>
    <w:rsid w:val="5E9A0BD4"/>
    <w:rsid w:val="5EA66A16"/>
    <w:rsid w:val="5EAC5CBD"/>
    <w:rsid w:val="5EAC7B3F"/>
    <w:rsid w:val="5EB87D7C"/>
    <w:rsid w:val="5EC342A2"/>
    <w:rsid w:val="5EDD1D0C"/>
    <w:rsid w:val="5EE81D52"/>
    <w:rsid w:val="5F2F17E4"/>
    <w:rsid w:val="5F85487D"/>
    <w:rsid w:val="5FC7330A"/>
    <w:rsid w:val="5FFE1F39"/>
    <w:rsid w:val="60326087"/>
    <w:rsid w:val="60473729"/>
    <w:rsid w:val="60A30D33"/>
    <w:rsid w:val="60A76A75"/>
    <w:rsid w:val="60C91D59"/>
    <w:rsid w:val="60EC26DA"/>
    <w:rsid w:val="60F5158E"/>
    <w:rsid w:val="614E033F"/>
    <w:rsid w:val="615D5386"/>
    <w:rsid w:val="619F24BE"/>
    <w:rsid w:val="61B86C91"/>
    <w:rsid w:val="620A0A24"/>
    <w:rsid w:val="62682234"/>
    <w:rsid w:val="628D551C"/>
    <w:rsid w:val="629E7A04"/>
    <w:rsid w:val="62C67655"/>
    <w:rsid w:val="62FE75F5"/>
    <w:rsid w:val="633D180B"/>
    <w:rsid w:val="63491158"/>
    <w:rsid w:val="63F967BA"/>
    <w:rsid w:val="641F3A2D"/>
    <w:rsid w:val="6421269A"/>
    <w:rsid w:val="642D103F"/>
    <w:rsid w:val="64A31301"/>
    <w:rsid w:val="64AC4960"/>
    <w:rsid w:val="64B33C3A"/>
    <w:rsid w:val="64B41760"/>
    <w:rsid w:val="64FD4EB5"/>
    <w:rsid w:val="653E102A"/>
    <w:rsid w:val="6553067F"/>
    <w:rsid w:val="65735178"/>
    <w:rsid w:val="658F6353"/>
    <w:rsid w:val="65B61C0E"/>
    <w:rsid w:val="65C63344"/>
    <w:rsid w:val="6632070E"/>
    <w:rsid w:val="663A5F3D"/>
    <w:rsid w:val="66457F8E"/>
    <w:rsid w:val="66721749"/>
    <w:rsid w:val="66A55799"/>
    <w:rsid w:val="66B41345"/>
    <w:rsid w:val="66B912B0"/>
    <w:rsid w:val="66BE014C"/>
    <w:rsid w:val="66C351C5"/>
    <w:rsid w:val="66FB1875"/>
    <w:rsid w:val="67340937"/>
    <w:rsid w:val="67676E92"/>
    <w:rsid w:val="67801DCE"/>
    <w:rsid w:val="678371C8"/>
    <w:rsid w:val="678A0557"/>
    <w:rsid w:val="67AB0BF9"/>
    <w:rsid w:val="67B645A5"/>
    <w:rsid w:val="67C24194"/>
    <w:rsid w:val="67D31EFE"/>
    <w:rsid w:val="68262975"/>
    <w:rsid w:val="682C0094"/>
    <w:rsid w:val="68430CA2"/>
    <w:rsid w:val="68815DFE"/>
    <w:rsid w:val="6888024C"/>
    <w:rsid w:val="69355CE2"/>
    <w:rsid w:val="699639F2"/>
    <w:rsid w:val="69EC114A"/>
    <w:rsid w:val="69ED2098"/>
    <w:rsid w:val="69F136DF"/>
    <w:rsid w:val="6A3A29F9"/>
    <w:rsid w:val="6AA81420"/>
    <w:rsid w:val="6AA915A7"/>
    <w:rsid w:val="6B2479E1"/>
    <w:rsid w:val="6B323086"/>
    <w:rsid w:val="6B6932A5"/>
    <w:rsid w:val="6B9268DB"/>
    <w:rsid w:val="6B985714"/>
    <w:rsid w:val="6BCF3892"/>
    <w:rsid w:val="6C0D76BF"/>
    <w:rsid w:val="6C0F2305"/>
    <w:rsid w:val="6C1D77AE"/>
    <w:rsid w:val="6CEA5D4F"/>
    <w:rsid w:val="6D446197"/>
    <w:rsid w:val="6D847121"/>
    <w:rsid w:val="6D97577B"/>
    <w:rsid w:val="6DE76703"/>
    <w:rsid w:val="6DEA7FA1"/>
    <w:rsid w:val="6DEE5CE3"/>
    <w:rsid w:val="6E1B63AC"/>
    <w:rsid w:val="6E2C2368"/>
    <w:rsid w:val="6E9C74ED"/>
    <w:rsid w:val="6EC46913"/>
    <w:rsid w:val="6ECA09A4"/>
    <w:rsid w:val="6ED0363B"/>
    <w:rsid w:val="6EEA70CD"/>
    <w:rsid w:val="6F3237D5"/>
    <w:rsid w:val="6F4162E7"/>
    <w:rsid w:val="6F6B1E07"/>
    <w:rsid w:val="6FBF6E7D"/>
    <w:rsid w:val="6FCA62DC"/>
    <w:rsid w:val="6FE05885"/>
    <w:rsid w:val="6FE07A9C"/>
    <w:rsid w:val="6FF730A4"/>
    <w:rsid w:val="70087AE2"/>
    <w:rsid w:val="700F1F41"/>
    <w:rsid w:val="704A3E7A"/>
    <w:rsid w:val="70A97C9F"/>
    <w:rsid w:val="70B01DF1"/>
    <w:rsid w:val="70CD7E32"/>
    <w:rsid w:val="710A0ACE"/>
    <w:rsid w:val="71257C6E"/>
    <w:rsid w:val="71811548"/>
    <w:rsid w:val="71C11019"/>
    <w:rsid w:val="72255A4C"/>
    <w:rsid w:val="72347A3D"/>
    <w:rsid w:val="728F085A"/>
    <w:rsid w:val="72C11C55"/>
    <w:rsid w:val="72DC089E"/>
    <w:rsid w:val="72EB0A43"/>
    <w:rsid w:val="730E028E"/>
    <w:rsid w:val="7310773F"/>
    <w:rsid w:val="731E2BC7"/>
    <w:rsid w:val="73263829"/>
    <w:rsid w:val="73F6747D"/>
    <w:rsid w:val="740659B9"/>
    <w:rsid w:val="74104710"/>
    <w:rsid w:val="7434641A"/>
    <w:rsid w:val="74393A30"/>
    <w:rsid w:val="744C5512"/>
    <w:rsid w:val="744C6D07"/>
    <w:rsid w:val="74800122"/>
    <w:rsid w:val="748C590E"/>
    <w:rsid w:val="74AE2FC9"/>
    <w:rsid w:val="74FE759E"/>
    <w:rsid w:val="75071439"/>
    <w:rsid w:val="752079FA"/>
    <w:rsid w:val="7521699E"/>
    <w:rsid w:val="756B19C7"/>
    <w:rsid w:val="757C75A3"/>
    <w:rsid w:val="75860B86"/>
    <w:rsid w:val="75BF167C"/>
    <w:rsid w:val="75FC22DB"/>
    <w:rsid w:val="762B73A9"/>
    <w:rsid w:val="767E1BCE"/>
    <w:rsid w:val="76A2087D"/>
    <w:rsid w:val="76D417EE"/>
    <w:rsid w:val="76E1584F"/>
    <w:rsid w:val="76F125B0"/>
    <w:rsid w:val="775B3B45"/>
    <w:rsid w:val="77636B2F"/>
    <w:rsid w:val="77674410"/>
    <w:rsid w:val="776E22D2"/>
    <w:rsid w:val="77965B34"/>
    <w:rsid w:val="77BC29AE"/>
    <w:rsid w:val="78233039"/>
    <w:rsid w:val="7855070D"/>
    <w:rsid w:val="78557F17"/>
    <w:rsid w:val="78A9049E"/>
    <w:rsid w:val="78D930EC"/>
    <w:rsid w:val="78F777B8"/>
    <w:rsid w:val="78FB3062"/>
    <w:rsid w:val="7967694A"/>
    <w:rsid w:val="79A70939"/>
    <w:rsid w:val="79CB6ED9"/>
    <w:rsid w:val="7A040515"/>
    <w:rsid w:val="7A140FAB"/>
    <w:rsid w:val="7A191294"/>
    <w:rsid w:val="7A2B7977"/>
    <w:rsid w:val="7B1B41F8"/>
    <w:rsid w:val="7B3D20FC"/>
    <w:rsid w:val="7B513A73"/>
    <w:rsid w:val="7B7610C6"/>
    <w:rsid w:val="7BD302C6"/>
    <w:rsid w:val="7BE35CBC"/>
    <w:rsid w:val="7BE471C5"/>
    <w:rsid w:val="7BF5023D"/>
    <w:rsid w:val="7C357D42"/>
    <w:rsid w:val="7C3C5E6C"/>
    <w:rsid w:val="7C703D67"/>
    <w:rsid w:val="7C8F635F"/>
    <w:rsid w:val="7C920181"/>
    <w:rsid w:val="7C9E5796"/>
    <w:rsid w:val="7CCD235D"/>
    <w:rsid w:val="7CCD740C"/>
    <w:rsid w:val="7CFB7AD5"/>
    <w:rsid w:val="7CFD384D"/>
    <w:rsid w:val="7D1312C2"/>
    <w:rsid w:val="7D441B46"/>
    <w:rsid w:val="7D4A0A5C"/>
    <w:rsid w:val="7D5D3636"/>
    <w:rsid w:val="7D614260"/>
    <w:rsid w:val="7D893333"/>
    <w:rsid w:val="7D92659D"/>
    <w:rsid w:val="7D98180C"/>
    <w:rsid w:val="7DBD2EED"/>
    <w:rsid w:val="7DE14F1D"/>
    <w:rsid w:val="7E24305B"/>
    <w:rsid w:val="7E73382B"/>
    <w:rsid w:val="7EB937A4"/>
    <w:rsid w:val="7EC32874"/>
    <w:rsid w:val="7EC3319C"/>
    <w:rsid w:val="7F0F1615"/>
    <w:rsid w:val="7F6D749B"/>
    <w:rsid w:val="7F763505"/>
    <w:rsid w:val="7FAD75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883" w:firstLineChars="200"/>
      <w:jc w:val="both"/>
    </w:pPr>
    <w:rPr>
      <w:rFonts w:ascii="Times New Roman" w:hAnsi="Times New Roman" w:eastAsia="仿宋_GB2312" w:cstheme="minorBidi"/>
      <w:kern w:val="2"/>
      <w:sz w:val="28"/>
      <w:szCs w:val="24"/>
      <w:lang w:val="en-US" w:eastAsia="zh-CN" w:bidi="ar-SA"/>
    </w:rPr>
  </w:style>
  <w:style w:type="paragraph" w:styleId="3">
    <w:name w:val="heading 1"/>
    <w:basedOn w:val="1"/>
    <w:next w:val="1"/>
    <w:link w:val="52"/>
    <w:qFormat/>
    <w:uiPriority w:val="0"/>
    <w:pPr>
      <w:keepNext/>
      <w:keepLines/>
      <w:ind w:firstLine="0" w:firstLineChars="0"/>
      <w:jc w:val="center"/>
      <w:outlineLvl w:val="0"/>
    </w:pPr>
    <w:rPr>
      <w:b/>
      <w:kern w:val="44"/>
      <w:sz w:val="32"/>
    </w:rPr>
  </w:style>
  <w:style w:type="paragraph" w:styleId="4">
    <w:name w:val="heading 2"/>
    <w:basedOn w:val="1"/>
    <w:next w:val="1"/>
    <w:link w:val="54"/>
    <w:unhideWhenUsed/>
    <w:qFormat/>
    <w:uiPriority w:val="0"/>
    <w:pPr>
      <w:keepNext/>
      <w:keepLines/>
      <w:ind w:firstLine="0" w:firstLineChars="0"/>
      <w:outlineLvl w:val="1"/>
    </w:pPr>
    <w:rPr>
      <w:b/>
    </w:rPr>
  </w:style>
  <w:style w:type="paragraph" w:styleId="5">
    <w:name w:val="heading 3"/>
    <w:basedOn w:val="1"/>
    <w:next w:val="1"/>
    <w:link w:val="37"/>
    <w:unhideWhenUsed/>
    <w:qFormat/>
    <w:uiPriority w:val="0"/>
    <w:pPr>
      <w:keepNext/>
      <w:keepLines/>
      <w:ind w:firstLine="0" w:firstLineChars="0"/>
      <w:jc w:val="left"/>
      <w:outlineLvl w:val="2"/>
    </w:pPr>
    <w:rPr>
      <w:b/>
    </w:rPr>
  </w:style>
  <w:style w:type="paragraph" w:styleId="6">
    <w:name w:val="heading 4"/>
    <w:basedOn w:val="1"/>
    <w:next w:val="1"/>
    <w:unhideWhenUsed/>
    <w:qFormat/>
    <w:uiPriority w:val="0"/>
    <w:pPr>
      <w:keepNext/>
      <w:keepLines/>
      <w:outlineLvl w:val="3"/>
    </w:pPr>
    <w:rPr>
      <w:b/>
    </w:rPr>
  </w:style>
  <w:style w:type="paragraph" w:styleId="7">
    <w:name w:val="heading 5"/>
    <w:basedOn w:val="1"/>
    <w:next w:val="1"/>
    <w:unhideWhenUsed/>
    <w:qFormat/>
    <w:uiPriority w:val="0"/>
    <w:pPr>
      <w:keepNext/>
      <w:keepLines/>
      <w:outlineLvl w:val="4"/>
    </w:pPr>
    <w:rPr>
      <w:b/>
    </w:rPr>
  </w:style>
  <w:style w:type="paragraph" w:styleId="8">
    <w:name w:val="heading 6"/>
    <w:basedOn w:val="1"/>
    <w:next w:val="1"/>
    <w:link w:val="32"/>
    <w:unhideWhenUsed/>
    <w:qFormat/>
    <w:uiPriority w:val="0"/>
    <w:pPr>
      <w:keepNext/>
      <w:keepLines/>
      <w:spacing w:line="240" w:lineRule="auto"/>
      <w:ind w:firstLine="0" w:firstLineChars="0"/>
      <w:jc w:val="center"/>
      <w:outlineLvl w:val="5"/>
    </w:pPr>
    <w:rPr>
      <w:rFonts w:ascii="Arial" w:hAnsi="Arial"/>
      <w:sz w:val="24"/>
    </w:rPr>
  </w:style>
  <w:style w:type="paragraph" w:styleId="9">
    <w:name w:val="heading 7"/>
    <w:basedOn w:val="1"/>
    <w:next w:val="1"/>
    <w:unhideWhenUsed/>
    <w:qFormat/>
    <w:uiPriority w:val="0"/>
    <w:pPr>
      <w:keepNext/>
      <w:keepLines/>
      <w:spacing w:line="240" w:lineRule="auto"/>
      <w:ind w:firstLine="0" w:firstLineChars="0"/>
      <w:jc w:val="right"/>
      <w:outlineLvl w:val="6"/>
    </w:pPr>
    <w:rPr>
      <w:sz w:val="21"/>
    </w:rPr>
  </w:style>
  <w:style w:type="paragraph" w:styleId="10">
    <w:name w:val="heading 8"/>
    <w:basedOn w:val="1"/>
    <w:next w:val="1"/>
    <w:unhideWhenUsed/>
    <w:qFormat/>
    <w:uiPriority w:val="0"/>
    <w:pPr>
      <w:keepNext/>
      <w:keepLines/>
      <w:ind w:firstLine="0" w:firstLineChars="0"/>
      <w:jc w:val="center"/>
      <w:outlineLvl w:val="7"/>
    </w:pPr>
    <w:rPr>
      <w:rFonts w:ascii="Arial" w:hAnsi="Arial"/>
      <w:sz w:val="24"/>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44"/>
    <w:qFormat/>
    <w:uiPriority w:val="1"/>
    <w:pPr>
      <w:spacing w:line="240" w:lineRule="auto"/>
      <w:ind w:firstLine="0" w:firstLineChars="0"/>
      <w:jc w:val="center"/>
    </w:pPr>
    <w:rPr>
      <w:rFonts w:cs="仿宋"/>
      <w:sz w:val="22"/>
      <w:szCs w:val="28"/>
    </w:rPr>
  </w:style>
  <w:style w:type="paragraph" w:styleId="11">
    <w:name w:val="caption"/>
    <w:basedOn w:val="1"/>
    <w:next w:val="1"/>
    <w:link w:val="31"/>
    <w:qFormat/>
    <w:uiPriority w:val="35"/>
    <w:pPr>
      <w:ind w:firstLine="0" w:firstLineChars="0"/>
      <w:jc w:val="center"/>
    </w:pPr>
    <w:rPr>
      <w:rFonts w:cs="Times New Roman"/>
      <w:sz w:val="24"/>
      <w:szCs w:val="20"/>
    </w:rPr>
  </w:style>
  <w:style w:type="paragraph" w:styleId="12">
    <w:name w:val="annotation text"/>
    <w:basedOn w:val="1"/>
    <w:link w:val="38"/>
    <w:qFormat/>
    <w:uiPriority w:val="0"/>
    <w:pPr>
      <w:spacing w:line="240" w:lineRule="auto"/>
      <w:ind w:firstLine="0" w:firstLineChars="0"/>
      <w:jc w:val="left"/>
    </w:pPr>
    <w:rPr>
      <w:sz w:val="21"/>
    </w:rPr>
  </w:style>
  <w:style w:type="paragraph" w:styleId="13">
    <w:name w:val="Body Text Indent"/>
    <w:basedOn w:val="1"/>
    <w:unhideWhenUsed/>
    <w:qFormat/>
    <w:uiPriority w:val="99"/>
    <w:pPr>
      <w:spacing w:line="240" w:lineRule="auto"/>
      <w:ind w:firstLine="0" w:firstLineChars="0"/>
      <w:jc w:val="right"/>
    </w:pPr>
    <w:rPr>
      <w:rFonts w:cs="Times New Roman"/>
      <w:sz w:val="21"/>
      <w:szCs w:val="20"/>
    </w:rPr>
  </w:style>
  <w:style w:type="paragraph" w:styleId="14">
    <w:name w:val="Body Text Indent 2"/>
    <w:basedOn w:val="1"/>
    <w:link w:val="42"/>
    <w:unhideWhenUsed/>
    <w:qFormat/>
    <w:uiPriority w:val="99"/>
  </w:style>
  <w:style w:type="paragraph" w:styleId="15">
    <w:name w:val="Balloon Text"/>
    <w:basedOn w:val="1"/>
    <w:link w:val="36"/>
    <w:qFormat/>
    <w:uiPriority w:val="0"/>
    <w:pPr>
      <w:spacing w:line="240" w:lineRule="auto"/>
    </w:pPr>
    <w:rPr>
      <w:sz w:val="18"/>
      <w:szCs w:val="18"/>
    </w:rPr>
  </w:style>
  <w:style w:type="paragraph" w:styleId="16">
    <w:name w:val="footer"/>
    <w:basedOn w:val="1"/>
    <w:link w:val="35"/>
    <w:qFormat/>
    <w:uiPriority w:val="99"/>
    <w:pPr>
      <w:tabs>
        <w:tab w:val="center" w:pos="4153"/>
        <w:tab w:val="right" w:pos="8306"/>
      </w:tabs>
      <w:snapToGrid w:val="0"/>
      <w:spacing w:line="240" w:lineRule="auto"/>
      <w:jc w:val="left"/>
    </w:pPr>
    <w:rPr>
      <w:sz w:val="18"/>
      <w:szCs w:val="18"/>
    </w:rPr>
  </w:style>
  <w:style w:type="paragraph" w:styleId="17">
    <w:name w:val="header"/>
    <w:basedOn w:val="1"/>
    <w:link w:val="34"/>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18">
    <w:name w:val="toc 1"/>
    <w:basedOn w:val="1"/>
    <w:next w:val="1"/>
    <w:qFormat/>
    <w:uiPriority w:val="39"/>
    <w:pPr>
      <w:tabs>
        <w:tab w:val="right" w:leader="dot" w:pos="8296"/>
      </w:tabs>
      <w:ind w:firstLine="0" w:firstLineChars="0"/>
    </w:pPr>
    <w:rPr>
      <w:b/>
      <w:bCs/>
      <w:sz w:val="24"/>
    </w:rPr>
  </w:style>
  <w:style w:type="paragraph" w:styleId="19">
    <w:name w:val="toc 2"/>
    <w:basedOn w:val="1"/>
    <w:next w:val="1"/>
    <w:qFormat/>
    <w:uiPriority w:val="39"/>
    <w:pPr>
      <w:tabs>
        <w:tab w:val="right" w:leader="dot" w:pos="8296"/>
      </w:tabs>
      <w:ind w:left="560" w:leftChars="200" w:firstLine="0" w:firstLineChars="0"/>
    </w:pPr>
    <w:rPr>
      <w:sz w:val="24"/>
    </w:rPr>
  </w:style>
  <w:style w:type="paragraph" w:styleId="20">
    <w:name w:val="Normal (Web)"/>
    <w:basedOn w:val="1"/>
    <w:qFormat/>
    <w:uiPriority w:val="99"/>
    <w:pPr>
      <w:spacing w:before="100" w:beforeAutospacing="1" w:after="100" w:afterAutospacing="1"/>
      <w:jc w:val="left"/>
    </w:pPr>
    <w:rPr>
      <w:rFonts w:cs="Times New Roman"/>
      <w:kern w:val="0"/>
      <w:sz w:val="24"/>
    </w:rPr>
  </w:style>
  <w:style w:type="paragraph" w:styleId="21">
    <w:name w:val="annotation subject"/>
    <w:basedOn w:val="12"/>
    <w:next w:val="12"/>
    <w:link w:val="39"/>
    <w:qFormat/>
    <w:uiPriority w:val="0"/>
    <w:rPr>
      <w:b/>
      <w:bCs/>
    </w:rPr>
  </w:style>
  <w:style w:type="paragraph" w:styleId="22">
    <w:name w:val="Body Text First Indent 2"/>
    <w:basedOn w:val="13"/>
    <w:next w:val="1"/>
    <w:qFormat/>
    <w:uiPriority w:val="0"/>
    <w:pPr>
      <w:ind w:firstLine="420"/>
    </w:pPr>
  </w:style>
  <w:style w:type="table" w:styleId="24">
    <w:name w:val="Table Grid"/>
    <w:basedOn w:val="23"/>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style>
  <w:style w:type="character" w:styleId="26">
    <w:name w:val="Hyperlink"/>
    <w:basedOn w:val="25"/>
    <w:qFormat/>
    <w:uiPriority w:val="99"/>
    <w:rPr>
      <w:color w:val="0563C1"/>
      <w:u w:val="single"/>
    </w:rPr>
  </w:style>
  <w:style w:type="character" w:styleId="27">
    <w:name w:val="annotation reference"/>
    <w:basedOn w:val="25"/>
    <w:qFormat/>
    <w:uiPriority w:val="0"/>
    <w:rPr>
      <w:sz w:val="21"/>
      <w:szCs w:val="21"/>
    </w:rPr>
  </w:style>
  <w:style w:type="paragraph" w:styleId="28">
    <w:name w:val="No Spacing"/>
    <w:qFormat/>
    <w:uiPriority w:val="1"/>
    <w:pPr>
      <w:widowControl w:val="0"/>
      <w:jc w:val="center"/>
    </w:pPr>
    <w:rPr>
      <w:rFonts w:ascii="Times New Roman" w:hAnsi="Times New Roman" w:eastAsia="仿宋" w:cs="宋体"/>
      <w:color w:val="000000"/>
      <w:kern w:val="2"/>
      <w:sz w:val="21"/>
      <w:szCs w:val="22"/>
      <w:lang w:val="en-US" w:eastAsia="zh-CN" w:bidi="ar-SA"/>
    </w:rPr>
  </w:style>
  <w:style w:type="paragraph" w:customStyle="1" w:styleId="29">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30">
    <w:name w:val="WPSOffice手动目录 1"/>
    <w:qFormat/>
    <w:uiPriority w:val="0"/>
    <w:rPr>
      <w:rFonts w:asciiTheme="minorHAnsi" w:hAnsiTheme="minorHAnsi" w:eastAsiaTheme="minorEastAsia" w:cstheme="minorBidi"/>
      <w:lang w:val="en-US" w:eastAsia="zh-CN" w:bidi="ar-SA"/>
    </w:rPr>
  </w:style>
  <w:style w:type="character" w:customStyle="1" w:styleId="31">
    <w:name w:val="题注 字符"/>
    <w:link w:val="11"/>
    <w:qFormat/>
    <w:uiPriority w:val="35"/>
    <w:rPr>
      <w:rFonts w:ascii="Times New Roman" w:hAnsi="Times New Roman" w:eastAsia="仿宋_GB2312" w:cs="Times New Roman"/>
      <w:color w:val="auto"/>
      <w:sz w:val="24"/>
      <w:szCs w:val="20"/>
    </w:rPr>
  </w:style>
  <w:style w:type="character" w:customStyle="1" w:styleId="32">
    <w:name w:val="标题 6 字符"/>
    <w:link w:val="8"/>
    <w:qFormat/>
    <w:uiPriority w:val="0"/>
    <w:rPr>
      <w:rFonts w:ascii="Arial" w:hAnsi="Arial" w:eastAsia="宋体"/>
      <w:sz w:val="24"/>
    </w:rPr>
  </w:style>
  <w:style w:type="paragraph" w:customStyle="1" w:styleId="33">
    <w:name w:val="Table Paragraph"/>
    <w:basedOn w:val="1"/>
    <w:qFormat/>
    <w:uiPriority w:val="1"/>
    <w:rPr>
      <w:rFonts w:ascii="仿宋" w:hAnsi="仿宋" w:eastAsia="仿宋" w:cs="仿宋"/>
    </w:rPr>
  </w:style>
  <w:style w:type="character" w:customStyle="1" w:styleId="34">
    <w:name w:val="页眉 字符"/>
    <w:basedOn w:val="25"/>
    <w:link w:val="17"/>
    <w:qFormat/>
    <w:uiPriority w:val="0"/>
    <w:rPr>
      <w:rFonts w:cstheme="minorBidi"/>
      <w:kern w:val="2"/>
      <w:sz w:val="18"/>
      <w:szCs w:val="18"/>
    </w:rPr>
  </w:style>
  <w:style w:type="character" w:customStyle="1" w:styleId="35">
    <w:name w:val="页脚 字符"/>
    <w:basedOn w:val="25"/>
    <w:link w:val="16"/>
    <w:qFormat/>
    <w:uiPriority w:val="99"/>
    <w:rPr>
      <w:rFonts w:cstheme="minorBidi"/>
      <w:kern w:val="2"/>
      <w:sz w:val="18"/>
      <w:szCs w:val="18"/>
    </w:rPr>
  </w:style>
  <w:style w:type="character" w:customStyle="1" w:styleId="36">
    <w:name w:val="批注框文本 字符"/>
    <w:basedOn w:val="25"/>
    <w:link w:val="15"/>
    <w:qFormat/>
    <w:uiPriority w:val="0"/>
    <w:rPr>
      <w:rFonts w:cstheme="minorBidi"/>
      <w:kern w:val="2"/>
      <w:sz w:val="18"/>
      <w:szCs w:val="18"/>
    </w:rPr>
  </w:style>
  <w:style w:type="character" w:customStyle="1" w:styleId="37">
    <w:name w:val="标题 3 字符"/>
    <w:basedOn w:val="25"/>
    <w:link w:val="5"/>
    <w:qFormat/>
    <w:uiPriority w:val="0"/>
    <w:rPr>
      <w:rFonts w:eastAsia="仿宋_GB2312" w:cstheme="minorBidi"/>
      <w:b/>
      <w:kern w:val="2"/>
      <w:sz w:val="28"/>
      <w:szCs w:val="24"/>
    </w:rPr>
  </w:style>
  <w:style w:type="character" w:customStyle="1" w:styleId="38">
    <w:name w:val="批注文字 字符"/>
    <w:basedOn w:val="25"/>
    <w:link w:val="12"/>
    <w:qFormat/>
    <w:uiPriority w:val="0"/>
    <w:rPr>
      <w:rFonts w:eastAsia="仿宋_GB2312" w:cstheme="minorBidi"/>
      <w:kern w:val="2"/>
      <w:sz w:val="21"/>
      <w:szCs w:val="24"/>
    </w:rPr>
  </w:style>
  <w:style w:type="character" w:customStyle="1" w:styleId="39">
    <w:name w:val="批注主题 字符"/>
    <w:basedOn w:val="38"/>
    <w:link w:val="21"/>
    <w:qFormat/>
    <w:uiPriority w:val="0"/>
    <w:rPr>
      <w:rFonts w:eastAsia="仿宋_GB2312" w:cstheme="minorBidi"/>
      <w:b/>
      <w:bCs/>
      <w:kern w:val="2"/>
      <w:sz w:val="28"/>
      <w:szCs w:val="24"/>
    </w:rPr>
  </w:style>
  <w:style w:type="character" w:customStyle="1" w:styleId="40">
    <w:name w:val="font01"/>
    <w:basedOn w:val="25"/>
    <w:qFormat/>
    <w:uiPriority w:val="0"/>
    <w:rPr>
      <w:rFonts w:hint="default" w:ascii="Arial" w:hAnsi="Arial" w:cs="Arial"/>
      <w:color w:val="000000"/>
      <w:sz w:val="20"/>
      <w:szCs w:val="20"/>
      <w:u w:val="none"/>
    </w:rPr>
  </w:style>
  <w:style w:type="character" w:customStyle="1" w:styleId="41">
    <w:name w:val="font11"/>
    <w:basedOn w:val="25"/>
    <w:qFormat/>
    <w:uiPriority w:val="0"/>
    <w:rPr>
      <w:rFonts w:hint="eastAsia" w:ascii="宋体" w:hAnsi="宋体" w:eastAsia="宋体" w:cs="宋体"/>
      <w:color w:val="000000"/>
      <w:sz w:val="20"/>
      <w:szCs w:val="20"/>
      <w:u w:val="none"/>
    </w:rPr>
  </w:style>
  <w:style w:type="character" w:customStyle="1" w:styleId="42">
    <w:name w:val="正文文本缩进 2 字符"/>
    <w:basedOn w:val="25"/>
    <w:link w:val="14"/>
    <w:qFormat/>
    <w:uiPriority w:val="0"/>
    <w:rPr>
      <w:rFonts w:hint="default" w:ascii="Times New Roman" w:hAnsi="Times New Roman" w:cs="Times New Roman"/>
      <w:kern w:val="2"/>
      <w:sz w:val="28"/>
      <w:szCs w:val="24"/>
    </w:rPr>
  </w:style>
  <w:style w:type="character" w:customStyle="1" w:styleId="43">
    <w:name w:val="font21"/>
    <w:basedOn w:val="25"/>
    <w:qFormat/>
    <w:uiPriority w:val="0"/>
    <w:rPr>
      <w:rFonts w:hint="eastAsia" w:ascii="宋体" w:hAnsi="宋体" w:eastAsia="宋体" w:cs="宋体"/>
      <w:color w:val="000000"/>
      <w:sz w:val="20"/>
      <w:szCs w:val="20"/>
      <w:u w:val="none"/>
    </w:rPr>
  </w:style>
  <w:style w:type="character" w:customStyle="1" w:styleId="44">
    <w:name w:val="正文文本 字符"/>
    <w:basedOn w:val="25"/>
    <w:link w:val="2"/>
    <w:qFormat/>
    <w:uiPriority w:val="1"/>
    <w:rPr>
      <w:rFonts w:ascii="Times New Roman" w:hAnsi="Times New Roman" w:eastAsia="仿宋_GB2312" w:cs="仿宋"/>
      <w:kern w:val="2"/>
      <w:sz w:val="22"/>
      <w:szCs w:val="28"/>
    </w:rPr>
  </w:style>
  <w:style w:type="table" w:customStyle="1" w:styleId="45">
    <w:name w:val="Table Normal"/>
    <w:semiHidden/>
    <w:unhideWhenUsed/>
    <w:qFormat/>
    <w:uiPriority w:val="0"/>
    <w:tblPr>
      <w:tblCellMar>
        <w:top w:w="0" w:type="dxa"/>
        <w:left w:w="0" w:type="dxa"/>
        <w:bottom w:w="0" w:type="dxa"/>
        <w:right w:w="0" w:type="dxa"/>
      </w:tblCellMar>
    </w:tblPr>
  </w:style>
  <w:style w:type="paragraph" w:customStyle="1" w:styleId="46">
    <w:name w:val="Table Text"/>
    <w:basedOn w:val="1"/>
    <w:semiHidden/>
    <w:qFormat/>
    <w:uiPriority w:val="0"/>
    <w:rPr>
      <w:rFonts w:eastAsia="Times New Roman" w:cs="Times New Roman"/>
      <w:sz w:val="21"/>
      <w:szCs w:val="21"/>
      <w:lang w:eastAsia="en-US"/>
    </w:rPr>
  </w:style>
  <w:style w:type="character" w:customStyle="1" w:styleId="47">
    <w:name w:val="font31"/>
    <w:basedOn w:val="25"/>
    <w:qFormat/>
    <w:uiPriority w:val="0"/>
    <w:rPr>
      <w:rFonts w:hint="eastAsia" w:ascii="仿宋_GB2312" w:eastAsia="仿宋_GB2312" w:cs="仿宋_GB2312"/>
      <w:color w:val="000000"/>
      <w:sz w:val="24"/>
      <w:szCs w:val="24"/>
      <w:u w:val="none"/>
    </w:rPr>
  </w:style>
  <w:style w:type="paragraph" w:customStyle="1" w:styleId="48">
    <w:name w:val="Other|1"/>
    <w:basedOn w:val="1"/>
    <w:qFormat/>
    <w:uiPriority w:val="0"/>
    <w:pPr>
      <w:spacing w:after="600" w:line="314" w:lineRule="auto"/>
      <w:jc w:val="center"/>
    </w:pPr>
    <w:rPr>
      <w:rFonts w:ascii="宋体" w:hAnsi="宋体" w:eastAsia="宋体" w:cs="宋体"/>
      <w:sz w:val="42"/>
      <w:szCs w:val="42"/>
      <w:lang w:val="zh-TW" w:eastAsia="zh-TW" w:bidi="zh-TW"/>
    </w:rPr>
  </w:style>
  <w:style w:type="character" w:customStyle="1" w:styleId="49">
    <w:name w:val="font41"/>
    <w:basedOn w:val="25"/>
    <w:qFormat/>
    <w:uiPriority w:val="0"/>
    <w:rPr>
      <w:rFonts w:hint="eastAsia" w:ascii="仿宋_GB2312" w:eastAsia="仿宋_GB2312" w:cs="仿宋_GB2312"/>
      <w:color w:val="000000"/>
      <w:sz w:val="24"/>
      <w:szCs w:val="24"/>
      <w:u w:val="none"/>
    </w:rPr>
  </w:style>
  <w:style w:type="character" w:customStyle="1" w:styleId="50">
    <w:name w:val="font51"/>
    <w:basedOn w:val="25"/>
    <w:qFormat/>
    <w:uiPriority w:val="0"/>
    <w:rPr>
      <w:rFonts w:hint="eastAsia" w:ascii="仿宋_GB2312" w:eastAsia="仿宋_GB2312" w:cs="仿宋_GB2312"/>
      <w:color w:val="000000"/>
      <w:sz w:val="24"/>
      <w:szCs w:val="24"/>
      <w:u w:val="none"/>
    </w:rPr>
  </w:style>
  <w:style w:type="character" w:customStyle="1" w:styleId="51">
    <w:name w:val="font61"/>
    <w:basedOn w:val="25"/>
    <w:qFormat/>
    <w:uiPriority w:val="0"/>
    <w:rPr>
      <w:rFonts w:hint="default" w:ascii="Times New Roman" w:hAnsi="Times New Roman" w:cs="Times New Roman"/>
      <w:color w:val="000000"/>
      <w:sz w:val="21"/>
      <w:szCs w:val="21"/>
      <w:u w:val="none"/>
    </w:rPr>
  </w:style>
  <w:style w:type="character" w:customStyle="1" w:styleId="52">
    <w:name w:val="标题 1 字符"/>
    <w:basedOn w:val="25"/>
    <w:link w:val="3"/>
    <w:qFormat/>
    <w:uiPriority w:val="0"/>
    <w:rPr>
      <w:rFonts w:eastAsia="仿宋_GB2312" w:cstheme="minorBidi"/>
      <w:b/>
      <w:kern w:val="44"/>
      <w:sz w:val="32"/>
      <w:szCs w:val="24"/>
    </w:rPr>
  </w:style>
  <w:style w:type="paragraph" w:styleId="53">
    <w:name w:val="List Paragraph"/>
    <w:basedOn w:val="1"/>
    <w:qFormat/>
    <w:uiPriority w:val="99"/>
    <w:pPr>
      <w:ind w:firstLine="420"/>
    </w:pPr>
  </w:style>
  <w:style w:type="character" w:customStyle="1" w:styleId="54">
    <w:name w:val="标题 2 字符"/>
    <w:basedOn w:val="25"/>
    <w:link w:val="4"/>
    <w:qFormat/>
    <w:uiPriority w:val="0"/>
    <w:rPr>
      <w:rFonts w:eastAsia="仿宋_GB2312" w:cstheme="minorBidi"/>
      <w:b/>
      <w:kern w:val="2"/>
      <w:sz w:val="28"/>
      <w:szCs w:val="24"/>
    </w:rPr>
  </w:style>
  <w:style w:type="character" w:customStyle="1" w:styleId="55">
    <w:name w:val="15"/>
    <w:basedOn w:val="25"/>
    <w:qFormat/>
    <w:uiPriority w:val="0"/>
    <w:rPr>
      <w:rFonts w:hint="eastAsia" w:ascii="仿宋_GB2312" w:eastAsia="仿宋_GB2312"/>
      <w:b/>
      <w:bCs/>
      <w:color w:val="000000"/>
      <w:sz w:val="24"/>
      <w:szCs w:val="24"/>
    </w:rPr>
  </w:style>
  <w:style w:type="character" w:customStyle="1" w:styleId="56">
    <w:name w:val="16"/>
    <w:basedOn w:val="25"/>
    <w:qFormat/>
    <w:uiPriority w:val="0"/>
    <w:rPr>
      <w:rFonts w:hint="eastAsia" w:ascii="仿宋_GB2312" w:eastAsia="仿宋_GB2312"/>
      <w:color w:val="000000"/>
      <w:sz w:val="24"/>
      <w:szCs w:val="24"/>
    </w:rPr>
  </w:style>
  <w:style w:type="paragraph" w:customStyle="1" w:styleId="57">
    <w:name w:val="正文1"/>
    <w:qFormat/>
    <w:uiPriority w:val="0"/>
    <w:pPr>
      <w:jc w:val="both"/>
    </w:pPr>
    <w:rPr>
      <w:rFonts w:ascii="Times New Roman" w:hAnsi="Times New Roman" w:eastAsia="宋体" w:cs="Times New Roman"/>
      <w:kern w:val="2"/>
      <w:sz w:val="21"/>
      <w:szCs w:val="21"/>
      <w:lang w:val="en-US" w:eastAsia="zh-CN" w:bidi="ar-SA"/>
    </w:rPr>
  </w:style>
  <w:style w:type="character" w:customStyle="1" w:styleId="58">
    <w:name w:val="font71"/>
    <w:basedOn w:val="25"/>
    <w:qFormat/>
    <w:uiPriority w:val="0"/>
    <w:rPr>
      <w:rFonts w:hint="default" w:ascii="Times New Roman" w:hAnsi="Times New Roman" w:cs="Times New Roman"/>
      <w:b/>
      <w:bCs/>
      <w:color w:val="000000"/>
      <w:sz w:val="22"/>
      <w:szCs w:val="22"/>
      <w:u w:val="none"/>
    </w:rPr>
  </w:style>
  <w:style w:type="character" w:customStyle="1" w:styleId="59">
    <w:name w:val="font91"/>
    <w:basedOn w:val="25"/>
    <w:qFormat/>
    <w:uiPriority w:val="0"/>
    <w:rPr>
      <w:rFonts w:hint="eastAsia" w:ascii="仿宋_GB2312" w:eastAsia="仿宋_GB2312" w:cs="仿宋_GB2312"/>
      <w:color w:val="000000"/>
      <w:sz w:val="21"/>
      <w:szCs w:val="21"/>
      <w:u w:val="none"/>
    </w:rPr>
  </w:style>
  <w:style w:type="paragraph" w:customStyle="1" w:styleId="60">
    <w:name w:val="修订1"/>
    <w:hidden/>
    <w:semiHidden/>
    <w:qFormat/>
    <w:uiPriority w:val="99"/>
    <w:rPr>
      <w:rFonts w:ascii="Times New Roman" w:hAnsi="Times New Roman" w:eastAsia="仿宋_GB2312" w:cstheme="minorBidi"/>
      <w:kern w:val="2"/>
      <w:sz w:val="28"/>
      <w:szCs w:val="24"/>
      <w:lang w:val="en-US" w:eastAsia="zh-CN" w:bidi="ar-SA"/>
    </w:rPr>
  </w:style>
  <w:style w:type="character" w:customStyle="1" w:styleId="61">
    <w:name w:val="fontstyle01"/>
    <w:basedOn w:val="25"/>
    <w:qFormat/>
    <w:uiPriority w:val="0"/>
    <w:rPr>
      <w:rFonts w:ascii="仿宋" w:hAnsi="仿宋" w:eastAsia="仿宋" w:cs="仿宋"/>
      <w:color w:val="000000"/>
      <w:sz w:val="28"/>
      <w:szCs w:val="28"/>
    </w:rPr>
  </w:style>
  <w:style w:type="character" w:customStyle="1" w:styleId="62">
    <w:name w:val="fontstyle21"/>
    <w:basedOn w:val="25"/>
    <w:qFormat/>
    <w:uiPriority w:val="0"/>
    <w:rPr>
      <w:rFonts w:ascii="TimesNewRomanPSMT" w:hAnsi="TimesNewRomanPSMT" w:eastAsia="TimesNewRomanPSMT" w:cs="TimesNewRomanPSMT"/>
      <w:color w:val="000000"/>
      <w:sz w:val="28"/>
      <w:szCs w:val="28"/>
    </w:rPr>
  </w:style>
  <w:style w:type="paragraph" w:customStyle="1" w:styleId="63">
    <w:name w:val="修订2"/>
    <w:hidden/>
    <w:unhideWhenUsed/>
    <w:qFormat/>
    <w:uiPriority w:val="99"/>
    <w:rPr>
      <w:rFonts w:ascii="Times New Roman" w:hAnsi="Times New Roman" w:eastAsia="仿宋_GB2312" w:cstheme="minorBidi"/>
      <w:kern w:val="2"/>
      <w:sz w:val="28"/>
      <w:szCs w:val="24"/>
      <w:lang w:val="en-US" w:eastAsia="zh-CN" w:bidi="ar-SA"/>
    </w:rPr>
  </w:style>
  <w:style w:type="paragraph" w:customStyle="1" w:styleId="64">
    <w:name w:val="Revision"/>
    <w:hidden/>
    <w:unhideWhenUsed/>
    <w:qFormat/>
    <w:uiPriority w:val="99"/>
    <w:rPr>
      <w:rFonts w:ascii="Times New Roman" w:hAnsi="Times New Roman" w:eastAsia="仿宋_GB2312" w:cstheme="minorBidi"/>
      <w:kern w:val="2"/>
      <w:sz w:val="28"/>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6180A73-60F4-4F95-91DC-0DDFAE164611}">
  <ds:schemaRefs/>
</ds:datastoreItem>
</file>

<file path=docProps/app.xml><?xml version="1.0" encoding="utf-8"?>
<Properties xmlns="http://schemas.openxmlformats.org/officeDocument/2006/extended-properties" xmlns:vt="http://schemas.openxmlformats.org/officeDocument/2006/docPropsVTypes">
  <Template>Normal.dotm</Template>
  <Pages>32</Pages>
  <Words>3375</Words>
  <Characters>19244</Characters>
  <Lines>160</Lines>
  <Paragraphs>45</Paragraphs>
  <TotalTime>160</TotalTime>
  <ScaleCrop>false</ScaleCrop>
  <LinksUpToDate>false</LinksUpToDate>
  <CharactersWithSpaces>22574</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2023-12-01T08:45:00Z</dcterms:created>
  <dc:creator>X</dc:creator>
  <cp:lastModifiedBy>欧阳</cp:lastModifiedBy>
  <dcterms:modified xsi:type="dcterms:W3CDTF">2023-12-27T05:31:39Z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AEA0C312339B43F4BB58ACDF6DD39A6E_13</vt:lpwstr>
  </property>
</Properties>
</file>