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D71A1">
      <w:pPr>
        <w:keepNext w:val="0"/>
        <w:keepLines w:val="0"/>
        <w:widowControl w:val="0"/>
        <w:suppressLineNumbers w:val="0"/>
        <w:autoSpaceDE w:val="0"/>
        <w:autoSpaceDN/>
        <w:spacing w:before="0" w:beforeAutospacing="0" w:after="0" w:afterAutospacing="0" w:line="600" w:lineRule="atLeast"/>
        <w:ind w:left="0" w:right="0"/>
        <w:jc w:val="both"/>
        <w:rPr>
          <w:rFonts w:hint="eastAsia" w:ascii="仿宋" w:hAnsi="仿宋" w:eastAsia="仿宋" w:cs="仿宋"/>
          <w:color w:val="auto"/>
          <w:kern w:val="2"/>
          <w:sz w:val="32"/>
          <w:szCs w:val="32"/>
          <w:highlight w:val="none"/>
        </w:rPr>
      </w:pPr>
      <w:bookmarkStart w:id="0" w:name="_GoBack"/>
      <w:r>
        <w:rPr>
          <w:rFonts w:hint="eastAsia" w:ascii="方正仿宋_GB2312" w:hAnsi="方正仿宋_GB2312" w:eastAsia="方正仿宋_GB2312" w:cs="方正仿宋_GB2312"/>
          <w:color w:val="auto"/>
          <w:kern w:val="2"/>
          <w:sz w:val="32"/>
          <w:szCs w:val="32"/>
          <w:highlight w:val="none"/>
          <w:lang w:val="en-US" w:eastAsia="zh-CN" w:bidi="ar"/>
        </w:rPr>
        <w:t>附件3</w:t>
      </w:r>
      <w:bookmarkEnd w:id="0"/>
    </w:p>
    <w:p w14:paraId="5A189AE5">
      <w:pPr>
        <w:pStyle w:val="2"/>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600" w:lineRule="atLeast"/>
        <w:ind w:left="0" w:right="0"/>
        <w:jc w:val="center"/>
        <w:textAlignment w:val="auto"/>
        <w:rPr>
          <w:rFonts w:hint="eastAsia" w:ascii="黑体" w:hAnsi="黑体" w:eastAsia="黑体" w:cs="黑体"/>
          <w:b w:val="0"/>
          <w:bCs w:val="0"/>
          <w:color w:val="auto"/>
          <w:kern w:val="2"/>
          <w:sz w:val="44"/>
          <w:szCs w:val="44"/>
          <w:highlight w:val="none"/>
          <w:lang w:eastAsia="zh-CN"/>
        </w:rPr>
      </w:pPr>
      <w:r>
        <w:rPr>
          <w:rFonts w:hint="eastAsia" w:ascii="黑体" w:hAnsi="黑体" w:eastAsia="黑体" w:cs="黑体"/>
          <w:b w:val="0"/>
          <w:bCs w:val="0"/>
          <w:color w:val="auto"/>
          <w:kern w:val="2"/>
          <w:sz w:val="44"/>
          <w:szCs w:val="44"/>
          <w:highlight w:val="none"/>
          <w:lang w:val="en-US" w:eastAsia="zh-CN"/>
        </w:rPr>
        <w:t>水稻</w:t>
      </w:r>
      <w:r>
        <w:rPr>
          <w:rFonts w:hint="eastAsia" w:ascii="黑体" w:hAnsi="黑体" w:eastAsia="黑体" w:cs="黑体"/>
          <w:b w:val="0"/>
          <w:bCs w:val="0"/>
          <w:color w:val="auto"/>
          <w:kern w:val="2"/>
          <w:sz w:val="44"/>
          <w:szCs w:val="44"/>
          <w:highlight w:val="none"/>
        </w:rPr>
        <w:t>种植管理档案</w:t>
      </w:r>
    </w:p>
    <w:tbl>
      <w:tblPr>
        <w:tblStyle w:val="4"/>
        <w:tblW w:w="935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2052"/>
        <w:gridCol w:w="2453"/>
        <w:gridCol w:w="2200"/>
        <w:gridCol w:w="2645"/>
      </w:tblGrid>
      <w:tr w14:paraId="15026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67" w:hRule="atLeast"/>
          <w:jc w:val="center"/>
        </w:trPr>
        <w:tc>
          <w:tcPr>
            <w:tcW w:w="2052"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2CA460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生产实施主体</w:t>
            </w:r>
          </w:p>
        </w:tc>
        <w:tc>
          <w:tcPr>
            <w:tcW w:w="2453" w:type="dxa"/>
            <w:tcBorders>
              <w:top w:val="single" w:color="000000" w:sz="8" w:space="0"/>
              <w:left w:val="nil"/>
              <w:bottom w:val="single" w:color="000000" w:sz="4" w:space="0"/>
              <w:right w:val="single" w:color="000000" w:sz="4" w:space="0"/>
            </w:tcBorders>
            <w:shd w:val="clear" w:color="auto" w:fill="auto"/>
            <w:vAlign w:val="center"/>
          </w:tcPr>
          <w:p w14:paraId="07D0FAF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8" w:space="0"/>
              <w:left w:val="nil"/>
              <w:bottom w:val="single" w:color="000000" w:sz="4" w:space="0"/>
              <w:right w:val="single" w:color="000000" w:sz="4" w:space="0"/>
            </w:tcBorders>
            <w:shd w:val="clear" w:color="auto" w:fill="auto"/>
            <w:vAlign w:val="center"/>
          </w:tcPr>
          <w:p w14:paraId="0E7DFCD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联系人</w:t>
            </w:r>
          </w:p>
        </w:tc>
        <w:tc>
          <w:tcPr>
            <w:tcW w:w="2645" w:type="dxa"/>
            <w:tcBorders>
              <w:top w:val="single" w:color="000000" w:sz="8" w:space="0"/>
              <w:left w:val="nil"/>
              <w:bottom w:val="single" w:color="000000" w:sz="4" w:space="0"/>
              <w:right w:val="single" w:color="000000" w:sz="8" w:space="0"/>
            </w:tcBorders>
            <w:shd w:val="clear" w:color="auto" w:fill="auto"/>
            <w:vAlign w:val="center"/>
          </w:tcPr>
          <w:p w14:paraId="46FAB977">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A01A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039F57">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联系电话</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5FA9DE2C">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4E5DB15F">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实施地点</w:t>
            </w:r>
          </w:p>
          <w:p w14:paraId="5D52BCC1">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（明确村组）</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32154DAC">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2E819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99FF6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面积（亩）</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681D8F79">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1DDAE294">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前</w:t>
            </w:r>
            <w:r>
              <w:rPr>
                <w:rFonts w:hint="eastAsia" w:ascii="仿宋" w:hAnsi="仿宋" w:eastAsia="仿宋" w:cs="仿宋"/>
                <w:b/>
                <w:bCs/>
                <w:color w:val="auto"/>
                <w:kern w:val="2"/>
                <w:sz w:val="32"/>
                <w:szCs w:val="32"/>
                <w:highlight w:val="none"/>
              </w:rPr>
              <w:tab/>
            </w:r>
            <w:r>
              <w:rPr>
                <w:rFonts w:hint="eastAsia" w:ascii="仿宋" w:hAnsi="仿宋" w:eastAsia="仿宋" w:cs="仿宋"/>
                <w:b/>
                <w:bCs/>
                <w:color w:val="auto"/>
                <w:kern w:val="2"/>
                <w:sz w:val="32"/>
                <w:szCs w:val="32"/>
                <w:highlight w:val="none"/>
              </w:rPr>
              <w:t>作</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7E2C940A">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5DD0AF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51C18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lang w:eastAsia="zh-CN"/>
              </w:rPr>
              <w:t>水稻</w:t>
            </w:r>
            <w:r>
              <w:rPr>
                <w:rFonts w:hint="eastAsia" w:ascii="仿宋" w:hAnsi="仿宋" w:eastAsia="仿宋" w:cs="仿宋"/>
                <w:b/>
                <w:bCs/>
                <w:color w:val="auto"/>
                <w:kern w:val="2"/>
                <w:sz w:val="32"/>
                <w:szCs w:val="32"/>
                <w:highlight w:val="none"/>
              </w:rPr>
              <w:t>品种</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5CBAF8F4">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77440750">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栽插方式</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456C54D7">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7CEF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F3FED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lang w:eastAsia="zh-CN"/>
              </w:rPr>
            </w:pPr>
            <w:r>
              <w:rPr>
                <w:rFonts w:hint="eastAsia" w:ascii="仿宋" w:hAnsi="仿宋" w:eastAsia="仿宋" w:cs="仿宋"/>
                <w:b/>
                <w:bCs/>
                <w:color w:val="auto"/>
                <w:kern w:val="2"/>
                <w:sz w:val="32"/>
                <w:szCs w:val="32"/>
                <w:highlight w:val="none"/>
                <w:lang w:eastAsia="zh-CN"/>
              </w:rPr>
              <w:t>关键增产技术措施</w:t>
            </w:r>
          </w:p>
        </w:tc>
        <w:tc>
          <w:tcPr>
            <w:tcW w:w="7298" w:type="dxa"/>
            <w:gridSpan w:val="3"/>
            <w:tcBorders>
              <w:top w:val="single" w:color="000000" w:sz="4" w:space="0"/>
              <w:left w:val="nil"/>
              <w:bottom w:val="single" w:color="000000" w:sz="4" w:space="0"/>
              <w:right w:val="single" w:color="000000" w:sz="8" w:space="0"/>
            </w:tcBorders>
            <w:shd w:val="clear" w:color="auto" w:fill="auto"/>
            <w:vAlign w:val="center"/>
          </w:tcPr>
          <w:p w14:paraId="71CA895E">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579A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2DD28">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播种量</w:t>
            </w:r>
          </w:p>
          <w:p w14:paraId="3E0B2E8C">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（公斤/亩）</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0225C081">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51EA046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播种时间</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13B7AA7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73E31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766842">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移栽时间</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79305DA0">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33F989A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行距</w:t>
            </w:r>
            <w:r>
              <w:rPr>
                <w:rFonts w:hint="eastAsia" w:ascii="仿宋" w:hAnsi="仿宋" w:eastAsia="仿宋" w:cs="仿宋"/>
                <w:b/>
                <w:bCs/>
                <w:color w:val="auto"/>
                <w:kern w:val="2"/>
                <w:sz w:val="32"/>
                <w:szCs w:val="32"/>
                <w:highlight w:val="none"/>
                <w:lang w:eastAsia="zh-CN"/>
              </w:rPr>
              <w:t>（</w:t>
            </w:r>
            <w:r>
              <w:rPr>
                <w:rFonts w:hint="eastAsia" w:ascii="仿宋" w:hAnsi="仿宋" w:eastAsia="仿宋" w:cs="仿宋"/>
                <w:b/>
                <w:bCs/>
                <w:color w:val="auto"/>
                <w:kern w:val="2"/>
                <w:sz w:val="32"/>
                <w:szCs w:val="32"/>
                <w:highlight w:val="none"/>
              </w:rPr>
              <w:t>cm</w:t>
            </w:r>
            <w:r>
              <w:rPr>
                <w:rFonts w:hint="eastAsia" w:ascii="仿宋" w:hAnsi="仿宋" w:eastAsia="仿宋" w:cs="仿宋"/>
                <w:b/>
                <w:bCs/>
                <w:color w:val="auto"/>
                <w:kern w:val="2"/>
                <w:sz w:val="32"/>
                <w:szCs w:val="32"/>
                <w:highlight w:val="none"/>
                <w:lang w:eastAsia="zh-CN"/>
              </w:rPr>
              <w:t>）</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5C257016">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2BC55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F416F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穴距</w:t>
            </w:r>
            <w:r>
              <w:rPr>
                <w:rFonts w:hint="eastAsia" w:ascii="仿宋" w:hAnsi="仿宋" w:eastAsia="仿宋" w:cs="仿宋"/>
                <w:b/>
                <w:bCs/>
                <w:color w:val="auto"/>
                <w:kern w:val="2"/>
                <w:sz w:val="32"/>
                <w:szCs w:val="32"/>
                <w:highlight w:val="none"/>
                <w:lang w:eastAsia="zh-CN"/>
              </w:rPr>
              <w:t>（</w:t>
            </w:r>
            <w:r>
              <w:rPr>
                <w:rFonts w:hint="eastAsia" w:ascii="仿宋" w:hAnsi="仿宋" w:eastAsia="仿宋" w:cs="仿宋"/>
                <w:b/>
                <w:bCs/>
                <w:color w:val="auto"/>
                <w:kern w:val="2"/>
                <w:sz w:val="32"/>
                <w:szCs w:val="32"/>
                <w:highlight w:val="none"/>
              </w:rPr>
              <w:t>cm</w:t>
            </w:r>
            <w:r>
              <w:rPr>
                <w:rFonts w:hint="eastAsia" w:ascii="仿宋" w:hAnsi="仿宋" w:eastAsia="仿宋" w:cs="仿宋"/>
                <w:b/>
                <w:bCs/>
                <w:color w:val="auto"/>
                <w:kern w:val="2"/>
                <w:sz w:val="32"/>
                <w:szCs w:val="32"/>
                <w:highlight w:val="none"/>
                <w:lang w:eastAsia="zh-CN"/>
              </w:rPr>
              <w:t>）</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4C1FA852">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17F3192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始穗时间</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6D8A971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749C7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C66943">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齐穗时间</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6891B8EC">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6695203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收获时间</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09683216">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2C346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vMerge w:val="restart"/>
            <w:tcBorders>
              <w:top w:val="nil"/>
              <w:left w:val="single" w:color="000000" w:sz="8" w:space="0"/>
              <w:bottom w:val="single" w:color="000000" w:sz="4" w:space="0"/>
              <w:right w:val="single" w:color="000000" w:sz="4" w:space="0"/>
            </w:tcBorders>
            <w:shd w:val="clear" w:color="auto" w:fill="auto"/>
            <w:vAlign w:val="center"/>
          </w:tcPr>
          <w:p w14:paraId="701C1384">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田间作业记载</w:t>
            </w:r>
          </w:p>
          <w:p w14:paraId="74DC3F9A">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（需包含前中后期作业记录）</w:t>
            </w: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72447EFA">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时间</w:t>
            </w: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33F6DBD4">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作业类型</w:t>
            </w:r>
          </w:p>
          <w:p w14:paraId="6B5E3CA3">
            <w:pPr>
              <w:pStyle w:val="6"/>
              <w:keepNext w:val="0"/>
              <w:keepLines w:val="0"/>
              <w:widowControl w:val="0"/>
              <w:suppressLineNumbers w:val="0"/>
              <w:autoSpaceDE w:val="0"/>
              <w:autoSpaceDN w:val="0"/>
              <w:spacing w:before="0" w:beforeAutospacing="0" w:line="36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w:t>
            </w:r>
            <w:r>
              <w:rPr>
                <w:rFonts w:hint="eastAsia" w:ascii="仿宋" w:hAnsi="仿宋" w:eastAsia="仿宋" w:cs="仿宋"/>
                <w:b/>
                <w:bCs/>
                <w:color w:val="auto"/>
                <w:kern w:val="2"/>
                <w:sz w:val="32"/>
                <w:szCs w:val="32"/>
                <w:highlight w:val="none"/>
                <w:lang w:eastAsia="zh-CN"/>
              </w:rPr>
              <w:t>育秧</w:t>
            </w:r>
            <w:r>
              <w:rPr>
                <w:rFonts w:hint="eastAsia" w:ascii="仿宋" w:hAnsi="仿宋" w:eastAsia="仿宋" w:cs="仿宋"/>
                <w:b/>
                <w:bCs/>
                <w:color w:val="auto"/>
                <w:kern w:val="2"/>
                <w:sz w:val="32"/>
                <w:szCs w:val="32"/>
                <w:highlight w:val="none"/>
                <w:lang w:val="en-US" w:eastAsia="zh-CN"/>
              </w:rPr>
              <w:t>/</w:t>
            </w:r>
            <w:r>
              <w:rPr>
                <w:rFonts w:hint="eastAsia" w:ascii="仿宋" w:hAnsi="仿宋" w:eastAsia="仿宋" w:cs="仿宋"/>
                <w:b/>
                <w:bCs/>
                <w:color w:val="auto"/>
                <w:kern w:val="2"/>
                <w:sz w:val="32"/>
                <w:szCs w:val="32"/>
                <w:highlight w:val="none"/>
                <w:lang w:eastAsia="zh-CN"/>
              </w:rPr>
              <w:t>整地</w:t>
            </w:r>
            <w:r>
              <w:rPr>
                <w:rFonts w:hint="eastAsia" w:ascii="仿宋" w:hAnsi="仿宋" w:eastAsia="仿宋" w:cs="仿宋"/>
                <w:b/>
                <w:bCs/>
                <w:color w:val="auto"/>
                <w:kern w:val="2"/>
                <w:sz w:val="32"/>
                <w:szCs w:val="32"/>
                <w:highlight w:val="none"/>
                <w:lang w:val="en-US" w:eastAsia="zh-CN"/>
              </w:rPr>
              <w:t>/</w:t>
            </w:r>
            <w:r>
              <w:rPr>
                <w:rFonts w:hint="eastAsia" w:ascii="仿宋" w:hAnsi="仿宋" w:eastAsia="仿宋" w:cs="仿宋"/>
                <w:b/>
                <w:bCs/>
                <w:color w:val="auto"/>
                <w:kern w:val="2"/>
                <w:sz w:val="32"/>
                <w:szCs w:val="32"/>
                <w:highlight w:val="none"/>
                <w:lang w:eastAsia="zh-CN"/>
              </w:rPr>
              <w:t>移栽</w:t>
            </w:r>
            <w:r>
              <w:rPr>
                <w:rFonts w:hint="eastAsia" w:ascii="仿宋" w:hAnsi="仿宋" w:eastAsia="仿宋" w:cs="仿宋"/>
                <w:b/>
                <w:bCs/>
                <w:color w:val="auto"/>
                <w:kern w:val="2"/>
                <w:sz w:val="32"/>
                <w:szCs w:val="32"/>
                <w:highlight w:val="none"/>
                <w:lang w:val="en-US" w:eastAsia="zh-CN"/>
              </w:rPr>
              <w:t>/</w:t>
            </w:r>
            <w:r>
              <w:rPr>
                <w:rFonts w:hint="eastAsia" w:ascii="仿宋" w:hAnsi="仿宋" w:eastAsia="仿宋" w:cs="仿宋"/>
                <w:b/>
                <w:bCs/>
                <w:color w:val="auto"/>
                <w:kern w:val="2"/>
                <w:sz w:val="32"/>
                <w:szCs w:val="32"/>
                <w:highlight w:val="none"/>
              </w:rPr>
              <w:t>施肥/打药/除草</w:t>
            </w:r>
            <w:r>
              <w:rPr>
                <w:rFonts w:hint="eastAsia" w:ascii="仿宋" w:hAnsi="仿宋" w:eastAsia="仿宋" w:cs="仿宋"/>
                <w:b/>
                <w:bCs/>
                <w:color w:val="auto"/>
                <w:kern w:val="2"/>
                <w:sz w:val="32"/>
                <w:szCs w:val="32"/>
                <w:highlight w:val="none"/>
                <w:lang w:eastAsia="zh-CN"/>
              </w:rPr>
              <w:t>等</w:t>
            </w:r>
            <w:r>
              <w:rPr>
                <w:rFonts w:hint="eastAsia" w:ascii="仿宋" w:hAnsi="仿宋" w:eastAsia="仿宋" w:cs="仿宋"/>
                <w:b/>
                <w:bCs/>
                <w:color w:val="auto"/>
                <w:kern w:val="2"/>
                <w:sz w:val="32"/>
                <w:szCs w:val="32"/>
                <w:highlight w:val="none"/>
              </w:rPr>
              <w:t>）</w:t>
            </w: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1732FFC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b/>
                <w:bCs/>
                <w:color w:val="auto"/>
                <w:kern w:val="2"/>
                <w:sz w:val="32"/>
                <w:szCs w:val="32"/>
                <w:highlight w:val="none"/>
              </w:rPr>
            </w:pPr>
            <w:r>
              <w:rPr>
                <w:rFonts w:hint="eastAsia" w:ascii="仿宋" w:hAnsi="仿宋" w:eastAsia="仿宋" w:cs="仿宋"/>
                <w:b/>
                <w:bCs/>
                <w:color w:val="auto"/>
                <w:kern w:val="2"/>
                <w:sz w:val="32"/>
                <w:szCs w:val="32"/>
                <w:highlight w:val="none"/>
              </w:rPr>
              <w:t>种类与用量</w:t>
            </w:r>
          </w:p>
        </w:tc>
      </w:tr>
      <w:tr w14:paraId="43C70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6E2AE8E0">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6928704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67D544E1">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7FBB218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2A511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5F383DA1">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0D4E7BC4">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1AA41B7B">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4EBA38F5">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4F7EC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5929B5C5">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3E6EF22C">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79F4764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7A53F1C4">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54BA10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36599352">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4DEF0FC0">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3D88CCAE">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539F77A0">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384DE5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377434B2">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3945B8B8">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3C3A3396">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09B9E3D2">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r w14:paraId="6C189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67" w:hRule="atLeast"/>
          <w:jc w:val="center"/>
        </w:trPr>
        <w:tc>
          <w:tcPr>
            <w:tcW w:w="2052" w:type="dxa"/>
            <w:vMerge w:val="continue"/>
            <w:tcBorders>
              <w:top w:val="nil"/>
              <w:left w:val="single" w:color="000000" w:sz="8" w:space="0"/>
              <w:bottom w:val="single" w:color="000000" w:sz="4" w:space="0"/>
              <w:right w:val="single" w:color="000000" w:sz="4" w:space="0"/>
            </w:tcBorders>
            <w:shd w:val="clear" w:color="auto" w:fill="auto"/>
            <w:vAlign w:val="center"/>
          </w:tcPr>
          <w:p w14:paraId="4785BD38">
            <w:pPr>
              <w:keepNext w:val="0"/>
              <w:keepLines w:val="0"/>
              <w:suppressLineNumbers w:val="0"/>
              <w:spacing w:before="0" w:beforeAutospacing="0" w:after="0" w:afterAutospacing="0"/>
              <w:ind w:left="0" w:right="0"/>
              <w:rPr>
                <w:rFonts w:hint="eastAsia" w:ascii="仿宋" w:hAnsi="仿宋" w:eastAsia="仿宋" w:cs="仿宋"/>
                <w:color w:val="auto"/>
                <w:sz w:val="32"/>
                <w:szCs w:val="32"/>
                <w:highlight w:val="none"/>
              </w:rPr>
            </w:pPr>
          </w:p>
        </w:tc>
        <w:tc>
          <w:tcPr>
            <w:tcW w:w="2453" w:type="dxa"/>
            <w:tcBorders>
              <w:top w:val="single" w:color="000000" w:sz="4" w:space="0"/>
              <w:left w:val="nil"/>
              <w:bottom w:val="single" w:color="000000" w:sz="4" w:space="0"/>
              <w:right w:val="single" w:color="000000" w:sz="4" w:space="0"/>
            </w:tcBorders>
            <w:shd w:val="clear" w:color="auto" w:fill="auto"/>
            <w:vAlign w:val="center"/>
          </w:tcPr>
          <w:p w14:paraId="1399BE51">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200" w:type="dxa"/>
            <w:tcBorders>
              <w:top w:val="single" w:color="000000" w:sz="4" w:space="0"/>
              <w:left w:val="nil"/>
              <w:bottom w:val="single" w:color="000000" w:sz="4" w:space="0"/>
              <w:right w:val="single" w:color="000000" w:sz="4" w:space="0"/>
            </w:tcBorders>
            <w:shd w:val="clear" w:color="auto" w:fill="auto"/>
            <w:vAlign w:val="center"/>
          </w:tcPr>
          <w:p w14:paraId="77235B8C">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c>
          <w:tcPr>
            <w:tcW w:w="2645" w:type="dxa"/>
            <w:tcBorders>
              <w:top w:val="single" w:color="000000" w:sz="4" w:space="0"/>
              <w:left w:val="nil"/>
              <w:bottom w:val="single" w:color="000000" w:sz="4" w:space="0"/>
              <w:right w:val="single" w:color="000000" w:sz="8" w:space="0"/>
            </w:tcBorders>
            <w:shd w:val="clear" w:color="auto" w:fill="auto"/>
            <w:vAlign w:val="center"/>
          </w:tcPr>
          <w:p w14:paraId="022C9F5E">
            <w:pPr>
              <w:pStyle w:val="6"/>
              <w:keepNext w:val="0"/>
              <w:keepLines w:val="0"/>
              <w:widowControl w:val="0"/>
              <w:suppressLineNumbers w:val="0"/>
              <w:autoSpaceDE w:val="0"/>
              <w:autoSpaceDN w:val="0"/>
              <w:spacing w:before="0" w:beforeAutospacing="0" w:line="400" w:lineRule="exact"/>
              <w:ind w:left="0" w:right="0"/>
              <w:jc w:val="center"/>
              <w:rPr>
                <w:rFonts w:hint="eastAsia" w:ascii="仿宋" w:hAnsi="仿宋" w:eastAsia="仿宋" w:cs="仿宋"/>
                <w:color w:val="auto"/>
                <w:kern w:val="2"/>
                <w:sz w:val="32"/>
                <w:szCs w:val="32"/>
                <w:highlight w:val="none"/>
              </w:rPr>
            </w:pPr>
          </w:p>
        </w:tc>
      </w:tr>
    </w:tbl>
    <w:p w14:paraId="35ED6206">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仿宋" w:hAnsi="仿宋" w:eastAsia="仿宋" w:cs="仿宋"/>
          <w:b/>
          <w:bCs/>
          <w:color w:val="auto"/>
          <w:sz w:val="28"/>
          <w:szCs w:val="28"/>
          <w:highlight w:val="none"/>
          <w:lang w:val="en-US" w:eastAsia="zh-CN"/>
        </w:rPr>
        <w:t>注：附整地、播种、育秧、插秧、肥水管理、病虫草鼠害防控及机械收获等关键技术措施实施时的照片（有条件的主体可利用无人机对整个参赛区域所实施的各个阶段进行航拍），测产后与测产记录表一同报县农业农村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31C6A5-EF57-4ADB-9A20-8DC59354EB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23A8ED-F5F2-4683-A604-43D97F505454}"/>
  </w:font>
  <w:font w:name="仿宋">
    <w:panose1 w:val="02010609060101010101"/>
    <w:charset w:val="86"/>
    <w:family w:val="modern"/>
    <w:pitch w:val="default"/>
    <w:sig w:usb0="800002BF" w:usb1="38CF7CFA" w:usb2="00000016" w:usb3="00000000" w:csb0="00040001" w:csb1="00000000"/>
    <w:embedRegular r:id="rId3" w:fontKey="{42804C91-548E-4E14-A275-7147AB2AEC31}"/>
  </w:font>
  <w:font w:name="方正黑体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62DE5A40-0949-4F8E-9789-A74A50CBE5A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864E14"/>
    <w:rsid w:val="71864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Table Paragraph"/>
    <w:basedOn w:val="1"/>
    <w:qFormat/>
    <w:uiPriority w:val="0"/>
    <w:pPr>
      <w:keepNext w:val="0"/>
      <w:keepLines w:val="0"/>
      <w:widowControl w:val="0"/>
      <w:suppressLineNumbers w:val="0"/>
      <w:spacing w:before="0" w:beforeAutospacing="0" w:after="0" w:afterAutospacing="0"/>
      <w:ind w:left="0" w:right="0"/>
      <w:jc w:val="both"/>
    </w:pPr>
    <w:rPr>
      <w:rFonts w:hint="eastAsia" w:ascii="方正黑体_GBK" w:hAnsi="方正黑体_GBK" w:eastAsia="方正黑体_GBK" w:cs="方正黑体_GBK"/>
      <w:kern w:val="2"/>
      <w:sz w:val="32"/>
      <w:szCs w:val="3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2025-01-23T00:55:00Z</dcterms:created>
  <dc:creator>劉zhi鹏</dc:creator>
  <cp:lastModifiedBy>劉zhi鹏</cp:lastModifiedBy>
  <dcterms:modified xsi:type="dcterms:W3CDTF">2025-01-23T00:59:00Z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5BA17F1C68BD41EC877DDB163923112F_11</vt:lpwstr>
  </property>
  <property fmtid="{D5CDD505-2E9C-101B-9397-08002B2CF9AE}" pid="4" name="KSOTemplateDocerSaveRecord">
    <vt:lpwstr>eyJoZGlkIjoiOWM2YThiOWEzMDJhMWM0NWQxNTY1OGVjNzA3N2IwZTAiLCJ1c2VySWQiOiIyMDA2MTM0MzEifQ==</vt:lpwstr>
  </property>
</Properties>
</file>