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DFAE392">
      <w:pPr>
        <w:spacing w:line="400" w:lineRule="exact"/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  <w:lang w:val="en-US" w:eastAsia="zh-CN"/>
        </w:rPr>
        <w:t>东源金利矿业有限公司坭坑石场生态修复</w:t>
      </w:r>
      <w:r>
        <w:rPr>
          <w:rFonts w:hint="eastAsia"/>
          <w:b/>
          <w:sz w:val="32"/>
          <w:szCs w:val="32"/>
        </w:rPr>
        <w:t>项目</w:t>
      </w:r>
    </w:p>
    <w:p w14:paraId="0C4C823C">
      <w:pPr>
        <w:spacing w:line="400" w:lineRule="exact"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初步验收意见</w:t>
      </w:r>
    </w:p>
    <w:p w14:paraId="4556867C">
      <w:pPr>
        <w:spacing w:line="400" w:lineRule="exact"/>
        <w:jc w:val="center"/>
        <w:rPr>
          <w:b/>
          <w:sz w:val="32"/>
          <w:szCs w:val="32"/>
        </w:rPr>
      </w:pPr>
    </w:p>
    <w:tbl>
      <w:tblPr>
        <w:tblStyle w:val="7"/>
        <w:tblW w:w="955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0"/>
        <w:gridCol w:w="1762"/>
        <w:gridCol w:w="7170"/>
      </w:tblGrid>
      <w:tr w14:paraId="4A2320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  <w:jc w:val="center"/>
        </w:trPr>
        <w:tc>
          <w:tcPr>
            <w:tcW w:w="620" w:type="dxa"/>
            <w:vAlign w:val="center"/>
          </w:tcPr>
          <w:p w14:paraId="7843A529">
            <w:pPr>
              <w:spacing w:line="360" w:lineRule="exact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1</w:t>
            </w:r>
          </w:p>
        </w:tc>
        <w:tc>
          <w:tcPr>
            <w:tcW w:w="1762" w:type="dxa"/>
            <w:vAlign w:val="center"/>
          </w:tcPr>
          <w:p w14:paraId="4773C05B">
            <w:pPr>
              <w:spacing w:line="360" w:lineRule="exact"/>
              <w:jc w:val="center"/>
              <w:rPr>
                <w:rFonts w:ascii="方正黑体_GBK" w:hAnsi="方正黑体_GBK" w:eastAsia="方正黑体_GBK" w:cs="方正黑体_GBK"/>
                <w:sz w:val="24"/>
              </w:rPr>
            </w:pPr>
            <w:r>
              <w:rPr>
                <w:rFonts w:hint="eastAsia" w:ascii="方正黑体_GBK" w:hAnsi="方正黑体_GBK" w:eastAsia="方正黑体_GBK" w:cs="方正黑体_GBK"/>
                <w:sz w:val="24"/>
                <w:lang w:val="en-US" w:eastAsia="zh-CN"/>
              </w:rPr>
              <w:t>生态修复责任</w:t>
            </w:r>
            <w:r>
              <w:rPr>
                <w:rFonts w:hint="eastAsia" w:ascii="方正黑体_GBK" w:hAnsi="方正黑体_GBK" w:eastAsia="方正黑体_GBK" w:cs="方正黑体_GBK"/>
                <w:sz w:val="24"/>
              </w:rPr>
              <w:t>使用单位</w:t>
            </w:r>
          </w:p>
        </w:tc>
        <w:tc>
          <w:tcPr>
            <w:tcW w:w="7170" w:type="dxa"/>
            <w:vAlign w:val="center"/>
          </w:tcPr>
          <w:p w14:paraId="0B758C93">
            <w:pPr>
              <w:spacing w:line="360" w:lineRule="exact"/>
              <w:jc w:val="left"/>
              <w:rPr>
                <w:rFonts w:hint="default" w:ascii="方正仿宋_GBK" w:hAnsi="方正仿宋_GBK" w:eastAsia="方正仿宋_GBK" w:cs="方正仿宋_GBK"/>
                <w:sz w:val="24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lang w:val="en-US" w:eastAsia="zh-CN"/>
              </w:rPr>
              <w:t>东源金利矿业有限公司</w:t>
            </w:r>
          </w:p>
        </w:tc>
      </w:tr>
      <w:tr w14:paraId="191C03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5" w:hRule="atLeast"/>
          <w:jc w:val="center"/>
        </w:trPr>
        <w:tc>
          <w:tcPr>
            <w:tcW w:w="620" w:type="dxa"/>
            <w:vAlign w:val="center"/>
          </w:tcPr>
          <w:p w14:paraId="7AB7395E">
            <w:pPr>
              <w:spacing w:line="360" w:lineRule="exact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2</w:t>
            </w:r>
          </w:p>
        </w:tc>
        <w:tc>
          <w:tcPr>
            <w:tcW w:w="1762" w:type="dxa"/>
            <w:vAlign w:val="center"/>
          </w:tcPr>
          <w:p w14:paraId="25F1AFC8">
            <w:pPr>
              <w:spacing w:line="360" w:lineRule="exact"/>
              <w:jc w:val="center"/>
              <w:rPr>
                <w:rFonts w:ascii="方正黑体_GBK" w:hAnsi="方正黑体_GBK" w:eastAsia="方正黑体_GBK" w:cs="方正黑体_GBK"/>
                <w:sz w:val="24"/>
              </w:rPr>
            </w:pPr>
            <w:r>
              <w:rPr>
                <w:rFonts w:hint="eastAsia" w:ascii="方正黑体_GBK" w:hAnsi="方正黑体_GBK" w:eastAsia="方正黑体_GBK" w:cs="方正黑体_GBK"/>
                <w:sz w:val="24"/>
                <w:lang w:val="en-US" w:eastAsia="zh-CN"/>
              </w:rPr>
              <w:t>生态修复</w:t>
            </w:r>
            <w:r>
              <w:rPr>
                <w:rFonts w:hint="eastAsia" w:ascii="方正黑体_GBK" w:hAnsi="方正黑体_GBK" w:eastAsia="方正黑体_GBK" w:cs="方正黑体_GBK"/>
                <w:sz w:val="24"/>
              </w:rPr>
              <w:t>地块名称</w:t>
            </w:r>
          </w:p>
        </w:tc>
        <w:tc>
          <w:tcPr>
            <w:tcW w:w="7170" w:type="dxa"/>
            <w:vAlign w:val="center"/>
          </w:tcPr>
          <w:p w14:paraId="6A75F1CB">
            <w:pPr>
              <w:spacing w:line="360" w:lineRule="exact"/>
              <w:jc w:val="left"/>
              <w:rPr>
                <w:rFonts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lang w:val="en-US" w:eastAsia="zh-CN"/>
              </w:rPr>
              <w:t>东源金利矿业有限公司坭坑石场</w:t>
            </w:r>
          </w:p>
        </w:tc>
      </w:tr>
      <w:tr w14:paraId="376BF0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41" w:hRule="atLeast"/>
          <w:jc w:val="center"/>
        </w:trPr>
        <w:tc>
          <w:tcPr>
            <w:tcW w:w="620" w:type="dxa"/>
            <w:vAlign w:val="center"/>
          </w:tcPr>
          <w:p w14:paraId="41C32A2F">
            <w:pPr>
              <w:spacing w:line="360" w:lineRule="exact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3</w:t>
            </w:r>
          </w:p>
        </w:tc>
        <w:tc>
          <w:tcPr>
            <w:tcW w:w="1762" w:type="dxa"/>
            <w:vAlign w:val="center"/>
          </w:tcPr>
          <w:p w14:paraId="777DD5A8">
            <w:pPr>
              <w:spacing w:line="360" w:lineRule="exact"/>
              <w:jc w:val="center"/>
              <w:rPr>
                <w:rFonts w:ascii="方正黑体_GBK" w:hAnsi="方正黑体_GBK" w:eastAsia="方正黑体_GBK" w:cs="方正黑体_GBK"/>
                <w:sz w:val="24"/>
              </w:rPr>
            </w:pPr>
            <w:r>
              <w:rPr>
                <w:rFonts w:hint="eastAsia" w:ascii="方正黑体_GBK" w:hAnsi="方正黑体_GBK" w:eastAsia="方正黑体_GBK" w:cs="方正黑体_GBK"/>
                <w:sz w:val="24"/>
              </w:rPr>
              <w:t>工程概况</w:t>
            </w:r>
          </w:p>
        </w:tc>
        <w:tc>
          <w:tcPr>
            <w:tcW w:w="7170" w:type="dxa"/>
            <w:vAlign w:val="center"/>
          </w:tcPr>
          <w:p w14:paraId="27335ADD">
            <w:pPr>
              <w:spacing w:line="360" w:lineRule="exact"/>
              <w:jc w:val="left"/>
              <w:rPr>
                <w:rFonts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lang w:val="en-US" w:eastAsia="zh-CN"/>
              </w:rPr>
              <w:t>《广东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/>
              </w:rPr>
              <w:t>省</w:t>
            </w: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东源金利矿业有限公司坭坑石场生态修复方案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》由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/>
              </w:rPr>
              <w:t>广东省核工业地质局二九二大队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编制。本次申请验收的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/>
              </w:rPr>
              <w:t>总</w:t>
            </w: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治理修复区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面积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/>
              </w:rPr>
              <w:t>12.46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hm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superscript"/>
              </w:rPr>
              <w:t>2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，实际损毁面积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/>
              </w:rPr>
              <w:t>12.46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hm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superscript"/>
              </w:rPr>
              <w:t>2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，实际复垦面积</w:t>
            </w:r>
            <w:r>
              <w:rPr>
                <w:rFonts w:hint="eastAsia" w:ascii="方正仿宋_GBK" w:hAnsi="方正仿宋_GBK" w:eastAsia="方正仿宋_GBK" w:cs="方正仿宋_GBK"/>
                <w:bCs/>
                <w:sz w:val="24"/>
                <w:szCs w:val="24"/>
                <w:lang w:val="en-US" w:eastAsia="zh-CN"/>
              </w:rPr>
              <w:t>11.93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hm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superscript"/>
              </w:rPr>
              <w:t>2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，复垦目标地类为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/>
              </w:rPr>
              <w:t>林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地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/>
              </w:rPr>
              <w:t>12.46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hm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superscript"/>
              </w:rPr>
              <w:t>2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。</w:t>
            </w:r>
          </w:p>
        </w:tc>
      </w:tr>
      <w:tr w14:paraId="6B027D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1" w:hRule="atLeast"/>
          <w:jc w:val="center"/>
        </w:trPr>
        <w:tc>
          <w:tcPr>
            <w:tcW w:w="620" w:type="dxa"/>
            <w:vAlign w:val="center"/>
          </w:tcPr>
          <w:p w14:paraId="5AB692A6">
            <w:pPr>
              <w:spacing w:line="360" w:lineRule="exact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4</w:t>
            </w:r>
          </w:p>
        </w:tc>
        <w:tc>
          <w:tcPr>
            <w:tcW w:w="1762" w:type="dxa"/>
            <w:vAlign w:val="center"/>
          </w:tcPr>
          <w:p w14:paraId="4CA067C6">
            <w:pPr>
              <w:spacing w:line="360" w:lineRule="exact"/>
              <w:jc w:val="center"/>
              <w:rPr>
                <w:rFonts w:ascii="方正黑体_GBK" w:hAnsi="方正黑体_GBK" w:eastAsia="方正黑体_GBK" w:cs="方正黑体_GBK"/>
                <w:sz w:val="24"/>
              </w:rPr>
            </w:pPr>
            <w:r>
              <w:rPr>
                <w:rFonts w:hint="eastAsia" w:ascii="方正黑体_GBK" w:hAnsi="方正黑体_GBK" w:eastAsia="方正黑体_GBK" w:cs="方正黑体_GBK"/>
                <w:sz w:val="24"/>
              </w:rPr>
              <w:t>施工过程</w:t>
            </w:r>
          </w:p>
        </w:tc>
        <w:tc>
          <w:tcPr>
            <w:tcW w:w="7170" w:type="dxa"/>
            <w:vAlign w:val="center"/>
          </w:tcPr>
          <w:p w14:paraId="747B7366">
            <w:pPr>
              <w:spacing w:line="360" w:lineRule="exact"/>
              <w:jc w:val="left"/>
              <w:rPr>
                <w:rFonts w:hint="eastAsia"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复垦工程从2022年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/>
              </w:rPr>
              <w:t>10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月至202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年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/>
              </w:rPr>
              <w:t>7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月已完成复垦各项工作，通过</w:t>
            </w:r>
            <w:r>
              <w:rPr>
                <w:rFonts w:hint="eastAsia" w:ascii="方正仿宋_GBK" w:hAnsi="方正仿宋_GBK" w:eastAsia="方正仿宋_GBK" w:cs="方正仿宋_GBK"/>
                <w:bCs/>
                <w:sz w:val="24"/>
                <w:szCs w:val="24"/>
              </w:rPr>
              <w:t>土壤重构工程（</w:t>
            </w:r>
            <w:r>
              <w:rPr>
                <w:rFonts w:hint="eastAsia" w:ascii="方正仿宋_GBK" w:hAnsi="方正仿宋_GBK" w:eastAsia="方正仿宋_GBK" w:cs="方正仿宋_GBK"/>
                <w:bCs/>
                <w:sz w:val="24"/>
                <w:szCs w:val="24"/>
                <w:lang w:eastAsia="zh-CN"/>
              </w:rPr>
              <w:t>土壤改良</w:t>
            </w:r>
            <w:r>
              <w:rPr>
                <w:rFonts w:hint="eastAsia" w:ascii="方正仿宋_GBK" w:hAnsi="方正仿宋_GBK" w:eastAsia="方正仿宋_GBK" w:cs="方正仿宋_GBK"/>
                <w:bCs/>
                <w:sz w:val="24"/>
                <w:szCs w:val="24"/>
              </w:rPr>
              <w:t>、施加土壤有机肥</w:t>
            </w:r>
            <w:r>
              <w:rPr>
                <w:rFonts w:hint="eastAsia" w:ascii="方正仿宋_GBK" w:hAnsi="方正仿宋_GBK" w:eastAsia="方正仿宋_GBK" w:cs="方正仿宋_GBK"/>
                <w:bCs/>
                <w:sz w:val="24"/>
                <w:szCs w:val="24"/>
                <w:lang w:eastAsia="zh-CN"/>
              </w:rPr>
              <w:t>、种植植物、</w:t>
            </w:r>
            <w:r>
              <w:rPr>
                <w:rFonts w:hint="eastAsia" w:ascii="方正仿宋_GBK" w:hAnsi="方正仿宋_GBK" w:eastAsia="方正仿宋_GBK" w:cs="方正仿宋_GBK"/>
                <w:bCs/>
                <w:sz w:val="24"/>
                <w:szCs w:val="24"/>
                <w:lang w:val="en-US" w:eastAsia="zh-CN"/>
              </w:rPr>
              <w:t>撒播草籽</w:t>
            </w:r>
            <w:r>
              <w:rPr>
                <w:rFonts w:hint="eastAsia" w:ascii="方正仿宋_GBK" w:hAnsi="方正仿宋_GBK" w:eastAsia="方正仿宋_GBK" w:cs="方正仿宋_GBK"/>
                <w:bCs/>
                <w:sz w:val="24"/>
                <w:szCs w:val="24"/>
              </w:rPr>
              <w:t>）、监测工程及管护</w:t>
            </w:r>
            <w:r>
              <w:rPr>
                <w:rFonts w:hint="eastAsia" w:ascii="方正仿宋_GBK" w:hAnsi="方正仿宋_GBK" w:eastAsia="方正仿宋_GBK" w:cs="方正仿宋_GBK"/>
                <w:bCs/>
                <w:sz w:val="24"/>
                <w:szCs w:val="24"/>
                <w:lang w:eastAsia="zh-CN"/>
              </w:rPr>
              <w:t>（警示牌、植物保养、</w:t>
            </w:r>
            <w:r>
              <w:rPr>
                <w:rFonts w:hint="eastAsia" w:ascii="方正仿宋_GBK" w:hAnsi="方正仿宋_GBK" w:eastAsia="方正仿宋_GBK" w:cs="方正仿宋_GBK"/>
                <w:bCs/>
                <w:sz w:val="24"/>
                <w:szCs w:val="24"/>
                <w:lang w:val="en-US" w:eastAsia="zh-CN"/>
              </w:rPr>
              <w:t>安全大门上锁</w:t>
            </w:r>
            <w:r>
              <w:rPr>
                <w:rFonts w:hint="eastAsia" w:ascii="方正仿宋_GBK" w:hAnsi="方正仿宋_GBK" w:eastAsia="方正仿宋_GBK" w:cs="方正仿宋_GBK"/>
                <w:bCs/>
                <w:sz w:val="24"/>
                <w:szCs w:val="24"/>
                <w:lang w:eastAsia="zh-CN"/>
              </w:rPr>
              <w:t>）、场地</w:t>
            </w:r>
            <w:r>
              <w:rPr>
                <w:rFonts w:hint="eastAsia" w:ascii="方正仿宋_GBK" w:hAnsi="方正仿宋_GBK" w:eastAsia="方正仿宋_GBK" w:cs="方正仿宋_GBK"/>
                <w:bCs/>
                <w:sz w:val="24"/>
                <w:szCs w:val="24"/>
              </w:rPr>
              <w:t>平整</w:t>
            </w:r>
            <w:r>
              <w:rPr>
                <w:rFonts w:hint="eastAsia" w:ascii="方正仿宋_GBK" w:hAnsi="方正仿宋_GBK" w:eastAsia="方正仿宋_GBK" w:cs="方正仿宋_GBK"/>
                <w:bCs/>
                <w:sz w:val="24"/>
                <w:szCs w:val="24"/>
                <w:lang w:eastAsia="zh-CN"/>
              </w:rPr>
              <w:t>与</w:t>
            </w:r>
            <w:r>
              <w:rPr>
                <w:rFonts w:hint="eastAsia" w:ascii="方正仿宋_GBK" w:hAnsi="方正仿宋_GBK" w:eastAsia="方正仿宋_GBK" w:cs="方正仿宋_GBK"/>
                <w:bCs/>
                <w:sz w:val="24"/>
                <w:szCs w:val="24"/>
              </w:rPr>
              <w:t>排水工程</w:t>
            </w:r>
            <w:r>
              <w:rPr>
                <w:rFonts w:hint="eastAsia" w:ascii="方正仿宋_GBK" w:hAnsi="方正仿宋_GBK" w:eastAsia="方正仿宋_GBK" w:cs="方正仿宋_GBK"/>
                <w:bCs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恢复了原有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/>
              </w:rPr>
              <w:t>地块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生产条件。</w:t>
            </w:r>
          </w:p>
        </w:tc>
      </w:tr>
      <w:tr w14:paraId="104B9C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1" w:hRule="atLeast"/>
          <w:jc w:val="center"/>
        </w:trPr>
        <w:tc>
          <w:tcPr>
            <w:tcW w:w="620" w:type="dxa"/>
            <w:vAlign w:val="center"/>
          </w:tcPr>
          <w:p w14:paraId="15783941">
            <w:pPr>
              <w:spacing w:line="360" w:lineRule="exact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5</w:t>
            </w:r>
          </w:p>
        </w:tc>
        <w:tc>
          <w:tcPr>
            <w:tcW w:w="1762" w:type="dxa"/>
            <w:vAlign w:val="center"/>
          </w:tcPr>
          <w:p w14:paraId="339A9977">
            <w:pPr>
              <w:spacing w:line="360" w:lineRule="exact"/>
              <w:jc w:val="center"/>
              <w:rPr>
                <w:rFonts w:ascii="方正黑体_GBK" w:hAnsi="方正黑体_GBK" w:eastAsia="方正黑体_GBK" w:cs="方正黑体_GBK"/>
                <w:sz w:val="24"/>
              </w:rPr>
            </w:pPr>
            <w:r>
              <w:rPr>
                <w:rFonts w:hint="eastAsia" w:ascii="方正黑体_GBK" w:hAnsi="方正黑体_GBK" w:eastAsia="方正黑体_GBK" w:cs="方正黑体_GBK"/>
                <w:sz w:val="24"/>
              </w:rPr>
              <w:t>复垦任务完成情况</w:t>
            </w:r>
          </w:p>
        </w:tc>
        <w:tc>
          <w:tcPr>
            <w:tcW w:w="7170" w:type="dxa"/>
            <w:vAlign w:val="center"/>
          </w:tcPr>
          <w:p w14:paraId="2C2FD84D">
            <w:pPr>
              <w:spacing w:line="360" w:lineRule="exact"/>
              <w:jc w:val="left"/>
              <w:rPr>
                <w:rFonts w:hint="eastAsia" w:ascii="方正仿宋_GBK" w:hAnsi="方正仿宋_GBK" w:eastAsia="方正仿宋_GBK" w:cs="方正仿宋_GBK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sz w:val="24"/>
                <w:szCs w:val="24"/>
              </w:rPr>
              <w:t>实际完成工程量</w:t>
            </w:r>
            <w:r>
              <w:rPr>
                <w:rFonts w:hint="eastAsia" w:ascii="方正仿宋_GBK" w:hAnsi="方正仿宋_GBK" w:eastAsia="方正仿宋_GBK" w:cs="方正仿宋_GBK"/>
                <w:bCs/>
                <w:sz w:val="24"/>
                <w:szCs w:val="24"/>
                <w:lang w:eastAsia="zh-CN"/>
              </w:rPr>
              <w:t>：</w:t>
            </w:r>
            <w:bookmarkStart w:id="0" w:name="_GoBack"/>
            <w:bookmarkEnd w:id="0"/>
            <w:r>
              <w:rPr>
                <w:rFonts w:hint="eastAsia" w:ascii="方正仿宋_GBK" w:hAnsi="方正仿宋_GBK" w:eastAsia="方正仿宋_GBK" w:cs="方正仿宋_GBK"/>
                <w:bCs/>
                <w:sz w:val="24"/>
                <w:szCs w:val="24"/>
                <w:lang w:val="en-US" w:eastAsia="zh-CN"/>
              </w:rPr>
              <w:t>排水沟</w:t>
            </w:r>
            <w:r>
              <w:rPr>
                <w:rFonts w:hint="eastAsia" w:ascii="方正仿宋_GBK" w:hAnsi="方正仿宋_GBK" w:eastAsia="方正仿宋_GBK" w:cs="方正仿宋_GBK"/>
                <w:bCs/>
                <w:sz w:val="24"/>
                <w:szCs w:val="24"/>
                <w:lang w:eastAsia="zh-CN"/>
              </w:rPr>
              <w:t>工程</w:t>
            </w:r>
            <w:r>
              <w:rPr>
                <w:rFonts w:hint="eastAsia" w:ascii="方正仿宋_GBK" w:hAnsi="方正仿宋_GBK" w:eastAsia="方正仿宋_GBK" w:cs="方正仿宋_GBK"/>
                <w:bCs/>
                <w:sz w:val="24"/>
                <w:szCs w:val="24"/>
                <w:lang w:val="en-US" w:eastAsia="zh-CN"/>
              </w:rPr>
              <w:t>392m</w:t>
            </w:r>
            <w:r>
              <w:rPr>
                <w:rFonts w:hint="eastAsia" w:ascii="方正仿宋_GBK" w:hAnsi="方正仿宋_GBK" w:eastAsia="方正仿宋_GBK" w:cs="方正仿宋_GBK"/>
                <w:bCs/>
                <w:sz w:val="24"/>
                <w:szCs w:val="24"/>
              </w:rPr>
              <w:t>，</w:t>
            </w:r>
            <w:r>
              <w:rPr>
                <w:rFonts w:hint="eastAsia" w:ascii="方正仿宋_GBK" w:hAnsi="方正仿宋_GBK" w:eastAsia="方正仿宋_GBK" w:cs="方正仿宋_GBK"/>
                <w:bCs/>
                <w:sz w:val="24"/>
                <w:szCs w:val="24"/>
                <w:lang w:eastAsia="zh-CN"/>
              </w:rPr>
              <w:t>场地平整</w:t>
            </w:r>
            <w:r>
              <w:rPr>
                <w:rFonts w:hint="eastAsia" w:ascii="方正仿宋_GBK" w:hAnsi="方正仿宋_GBK" w:eastAsia="方正仿宋_GBK" w:cs="方正仿宋_GBK"/>
                <w:bCs/>
                <w:sz w:val="24"/>
                <w:szCs w:val="24"/>
                <w:lang w:val="en-US" w:eastAsia="zh-CN"/>
              </w:rPr>
              <w:t>30200m</w:t>
            </w:r>
            <w:r>
              <w:rPr>
                <w:rFonts w:hint="eastAsia" w:ascii="方正仿宋_GBK" w:hAnsi="方正仿宋_GBK" w:eastAsia="方正仿宋_GBK" w:cs="方正仿宋_GBK"/>
                <w:bCs/>
                <w:sz w:val="24"/>
                <w:szCs w:val="24"/>
                <w:vertAlign w:val="superscript"/>
                <w:lang w:val="en-US" w:eastAsia="zh-CN"/>
              </w:rPr>
              <w:t>2</w:t>
            </w:r>
            <w:r>
              <w:rPr>
                <w:rFonts w:hint="eastAsia" w:ascii="方正仿宋_GBK" w:hAnsi="方正仿宋_GBK" w:eastAsia="方正仿宋_GBK" w:cs="方正仿宋_GBK"/>
                <w:bCs/>
                <w:sz w:val="24"/>
                <w:szCs w:val="24"/>
                <w:lang w:val="en-US" w:eastAsia="zh-CN"/>
              </w:rPr>
              <w:t>，</w:t>
            </w:r>
            <w:r>
              <w:rPr>
                <w:rFonts w:hint="eastAsia" w:ascii="方正仿宋_GBK" w:hAnsi="方正仿宋_GBK" w:eastAsia="方正仿宋_GBK" w:cs="方正仿宋_GBK"/>
                <w:bCs/>
                <w:sz w:val="24"/>
                <w:szCs w:val="24"/>
              </w:rPr>
              <w:t>土壤</w:t>
            </w:r>
            <w:r>
              <w:rPr>
                <w:rFonts w:hint="eastAsia" w:ascii="方正仿宋_GBK" w:hAnsi="方正仿宋_GBK" w:eastAsia="方正仿宋_GBK" w:cs="方正仿宋_GBK"/>
                <w:bCs/>
                <w:sz w:val="24"/>
                <w:szCs w:val="24"/>
                <w:lang w:eastAsia="zh-CN"/>
              </w:rPr>
              <w:t>改良</w:t>
            </w:r>
            <w:r>
              <w:rPr>
                <w:rFonts w:hint="eastAsia" w:ascii="方正仿宋_GBK" w:hAnsi="方正仿宋_GBK" w:eastAsia="方正仿宋_GBK" w:cs="方正仿宋_GBK"/>
                <w:bCs/>
                <w:sz w:val="24"/>
                <w:szCs w:val="24"/>
                <w:lang w:val="en-US" w:eastAsia="zh-CN"/>
              </w:rPr>
              <w:t>6.30hm</w:t>
            </w:r>
            <w:r>
              <w:rPr>
                <w:rFonts w:hint="eastAsia" w:ascii="方正仿宋_GBK" w:hAnsi="方正仿宋_GBK" w:eastAsia="方正仿宋_GBK" w:cs="方正仿宋_GBK"/>
                <w:bCs/>
                <w:sz w:val="24"/>
                <w:szCs w:val="24"/>
                <w:vertAlign w:val="superscript"/>
                <w:lang w:val="en-US" w:eastAsia="zh-CN"/>
              </w:rPr>
              <w:t>2</w:t>
            </w:r>
            <w:r>
              <w:rPr>
                <w:rFonts w:hint="eastAsia" w:ascii="方正仿宋_GBK" w:hAnsi="方正仿宋_GBK" w:eastAsia="方正仿宋_GBK" w:cs="方正仿宋_GBK"/>
                <w:bCs/>
                <w:sz w:val="24"/>
                <w:szCs w:val="24"/>
                <w:lang w:val="en-US" w:eastAsia="zh-CN"/>
              </w:rPr>
              <w:t>，施加土壤有机肥6.30hm</w:t>
            </w:r>
            <w:r>
              <w:rPr>
                <w:rFonts w:hint="eastAsia" w:ascii="方正仿宋_GBK" w:hAnsi="方正仿宋_GBK" w:eastAsia="方正仿宋_GBK" w:cs="方正仿宋_GBK"/>
                <w:bCs/>
                <w:sz w:val="24"/>
                <w:szCs w:val="24"/>
                <w:vertAlign w:val="superscript"/>
                <w:lang w:val="en-US" w:eastAsia="zh-CN"/>
              </w:rPr>
              <w:t>2</w:t>
            </w:r>
            <w:r>
              <w:rPr>
                <w:rFonts w:hint="eastAsia" w:ascii="方正仿宋_GBK" w:hAnsi="方正仿宋_GBK" w:eastAsia="方正仿宋_GBK" w:cs="方正仿宋_GBK"/>
                <w:bCs/>
                <w:sz w:val="24"/>
                <w:szCs w:val="24"/>
              </w:rPr>
              <w:t>，</w:t>
            </w:r>
            <w:r>
              <w:rPr>
                <w:rFonts w:hint="eastAsia" w:ascii="方正仿宋_GBK" w:hAnsi="方正仿宋_GBK" w:eastAsia="方正仿宋_GBK" w:cs="方正仿宋_GBK"/>
                <w:bCs/>
                <w:sz w:val="24"/>
                <w:szCs w:val="24"/>
                <w:lang w:val="en-US" w:eastAsia="zh-CN"/>
              </w:rPr>
              <w:t>种植爬藤植物1300株，种植乔木植物2380株，撒播草籽4.50hm</w:t>
            </w:r>
            <w:r>
              <w:rPr>
                <w:rFonts w:hint="eastAsia" w:ascii="方正仿宋_GBK" w:hAnsi="方正仿宋_GBK" w:eastAsia="方正仿宋_GBK" w:cs="方正仿宋_GBK"/>
                <w:bCs/>
                <w:sz w:val="24"/>
                <w:szCs w:val="24"/>
                <w:vertAlign w:val="superscript"/>
                <w:lang w:val="en-US" w:eastAsia="zh-CN"/>
              </w:rPr>
              <w:t>2</w:t>
            </w:r>
            <w:r>
              <w:rPr>
                <w:rFonts w:hint="eastAsia" w:ascii="方正仿宋_GBK" w:hAnsi="方正仿宋_GBK" w:eastAsia="方正仿宋_GBK" w:cs="方正仿宋_GBK"/>
                <w:bCs/>
                <w:sz w:val="24"/>
                <w:szCs w:val="24"/>
              </w:rPr>
              <w:t>，</w:t>
            </w:r>
            <w:r>
              <w:rPr>
                <w:rFonts w:hint="eastAsia" w:ascii="方正仿宋_GBK" w:hAnsi="方正仿宋_GBK" w:eastAsia="方正仿宋_GBK" w:cs="方正仿宋_GBK"/>
                <w:bCs/>
                <w:sz w:val="24"/>
                <w:szCs w:val="24"/>
                <w:lang w:val="en-US" w:eastAsia="zh-CN"/>
              </w:rPr>
              <w:t>种植灌木植物2300株，警示牌4个，安全大门上锁1个，植被养护三年。</w:t>
            </w:r>
          </w:p>
          <w:p w14:paraId="5D5C960E">
            <w:pPr>
              <w:spacing w:line="360" w:lineRule="exact"/>
              <w:jc w:val="left"/>
              <w:rPr>
                <w:rFonts w:hint="eastAsia"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根据土壤检测报告及现场情况，本项目土壤质地、PH、有机质含量、有效土层厚度、砾石含量、重金属含量等指标均满足《土地复垦质量控制标准》。</w:t>
            </w:r>
          </w:p>
        </w:tc>
      </w:tr>
      <w:tr w14:paraId="532305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5" w:hRule="atLeast"/>
          <w:jc w:val="center"/>
        </w:trPr>
        <w:tc>
          <w:tcPr>
            <w:tcW w:w="620" w:type="dxa"/>
            <w:vAlign w:val="center"/>
          </w:tcPr>
          <w:p w14:paraId="70FF81E2">
            <w:pPr>
              <w:spacing w:line="360" w:lineRule="exact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6</w:t>
            </w:r>
          </w:p>
        </w:tc>
        <w:tc>
          <w:tcPr>
            <w:tcW w:w="1762" w:type="dxa"/>
            <w:vAlign w:val="center"/>
          </w:tcPr>
          <w:p w14:paraId="12D383EA">
            <w:pPr>
              <w:spacing w:line="360" w:lineRule="exact"/>
              <w:jc w:val="center"/>
              <w:rPr>
                <w:rFonts w:ascii="方正黑体_GBK" w:hAnsi="方正黑体_GBK" w:eastAsia="方正黑体_GBK" w:cs="方正黑体_GBK"/>
                <w:sz w:val="24"/>
              </w:rPr>
            </w:pPr>
            <w:r>
              <w:rPr>
                <w:rFonts w:hint="eastAsia" w:ascii="方正黑体_GBK" w:hAnsi="方正黑体_GBK" w:eastAsia="方正黑体_GBK" w:cs="方正黑体_GBK"/>
                <w:sz w:val="24"/>
              </w:rPr>
              <w:t>工程质量认定</w:t>
            </w:r>
          </w:p>
        </w:tc>
        <w:tc>
          <w:tcPr>
            <w:tcW w:w="7170" w:type="dxa"/>
            <w:vAlign w:val="center"/>
          </w:tcPr>
          <w:p w14:paraId="5DB1B709">
            <w:pPr>
              <w:spacing w:line="360" w:lineRule="exact"/>
              <w:jc w:val="left"/>
              <w:rPr>
                <w:rFonts w:hint="eastAsia"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工程已完工，基本能按复垦工程设计和计划要求复垦，达到验收条件</w:t>
            </w:r>
          </w:p>
        </w:tc>
      </w:tr>
      <w:tr w14:paraId="2CC93A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2" w:hRule="atLeast"/>
          <w:jc w:val="center"/>
        </w:trPr>
        <w:tc>
          <w:tcPr>
            <w:tcW w:w="620" w:type="dxa"/>
            <w:vAlign w:val="center"/>
          </w:tcPr>
          <w:p w14:paraId="5E542DB7">
            <w:pPr>
              <w:spacing w:line="360" w:lineRule="exact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7</w:t>
            </w:r>
          </w:p>
        </w:tc>
        <w:tc>
          <w:tcPr>
            <w:tcW w:w="1762" w:type="dxa"/>
            <w:vAlign w:val="center"/>
          </w:tcPr>
          <w:p w14:paraId="458901BD">
            <w:pPr>
              <w:spacing w:line="360" w:lineRule="exact"/>
              <w:jc w:val="center"/>
              <w:rPr>
                <w:rFonts w:ascii="方正黑体_GBK" w:hAnsi="方正黑体_GBK" w:eastAsia="方正黑体_GBK" w:cs="方正黑体_GBK"/>
                <w:sz w:val="24"/>
              </w:rPr>
            </w:pPr>
            <w:r>
              <w:rPr>
                <w:rFonts w:hint="eastAsia" w:ascii="方正黑体_GBK" w:hAnsi="方正黑体_GBK" w:eastAsia="方正黑体_GBK" w:cs="方正黑体_GBK"/>
                <w:sz w:val="24"/>
              </w:rPr>
              <w:t>初步验收意见</w:t>
            </w:r>
          </w:p>
        </w:tc>
        <w:tc>
          <w:tcPr>
            <w:tcW w:w="7170" w:type="dxa"/>
            <w:vAlign w:val="center"/>
          </w:tcPr>
          <w:p w14:paraId="39914199">
            <w:pPr>
              <w:spacing w:line="360" w:lineRule="exact"/>
              <w:jc w:val="left"/>
              <w:rPr>
                <w:rFonts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县自然资源局会同县农业农村局、县林业局、市生态环境局东源分局等有关部门，组织邀请有关专家，依据</w:t>
            </w:r>
            <w:r>
              <w:rPr>
                <w:rFonts w:hint="eastAsia" w:ascii="方正仿宋_GBK" w:hAnsi="方正仿宋_GBK" w:eastAsia="方正仿宋_GBK" w:cs="方正仿宋_GBK"/>
                <w:sz w:val="24"/>
                <w:lang w:val="en-US" w:eastAsia="zh-CN"/>
              </w:rPr>
              <w:t>生态修复</w:t>
            </w:r>
            <w:r>
              <w:rPr>
                <w:rFonts w:hint="eastAsia" w:ascii="方正仿宋_GBK" w:hAnsi="方正仿宋_GBK" w:eastAsia="方正仿宋_GBK" w:cs="方正仿宋_GBK"/>
                <w:sz w:val="24"/>
              </w:rPr>
              <w:t>方案、对</w:t>
            </w:r>
            <w:r>
              <w:rPr>
                <w:rFonts w:hint="eastAsia" w:ascii="方正仿宋_GBK" w:hAnsi="方正仿宋_GBK" w:eastAsia="方正仿宋_GBK" w:cs="方正仿宋_GBK"/>
                <w:sz w:val="24"/>
                <w:lang w:val="en-US" w:eastAsia="zh-CN"/>
              </w:rPr>
              <w:t>坭坑石场生态修复</w:t>
            </w:r>
            <w:r>
              <w:rPr>
                <w:rFonts w:hint="eastAsia" w:ascii="方正仿宋_GBK" w:hAnsi="方正仿宋_GBK" w:eastAsia="方正仿宋_GBK" w:cs="方正仿宋_GBK"/>
                <w:bCs/>
                <w:sz w:val="24"/>
              </w:rPr>
              <w:t>工作</w:t>
            </w:r>
            <w:r>
              <w:rPr>
                <w:rFonts w:hint="eastAsia" w:ascii="方正仿宋_GBK" w:hAnsi="方正仿宋_GBK" w:eastAsia="方正仿宋_GBK" w:cs="方正仿宋_GBK"/>
                <w:sz w:val="24"/>
              </w:rPr>
              <w:t>进行验收。经现场检查和查看相关资料，</w:t>
            </w:r>
            <w:r>
              <w:rPr>
                <w:rFonts w:hint="eastAsia" w:ascii="方正仿宋_GBK" w:hAnsi="方正仿宋_GBK" w:eastAsia="方正仿宋_GBK" w:cs="方正仿宋_GBK"/>
                <w:sz w:val="24"/>
                <w:lang w:val="en-US" w:eastAsia="zh-CN"/>
              </w:rPr>
              <w:t>东源金利矿业有限公司坭坑石场</w:t>
            </w:r>
            <w:r>
              <w:rPr>
                <w:rFonts w:hint="eastAsia" w:ascii="方正仿宋_GBK" w:hAnsi="方正仿宋_GBK" w:eastAsia="方正仿宋_GBK" w:cs="方正仿宋_GBK"/>
                <w:sz w:val="24"/>
              </w:rPr>
              <w:t>按</w:t>
            </w:r>
            <w:r>
              <w:rPr>
                <w:rFonts w:hint="eastAsia" w:ascii="方正仿宋_GBK" w:hAnsi="方正仿宋_GBK" w:eastAsia="方正仿宋_GBK" w:cs="方正仿宋_GBK"/>
                <w:sz w:val="24"/>
                <w:lang w:val="en-US" w:eastAsia="zh-CN"/>
              </w:rPr>
              <w:t>生态修复</w:t>
            </w:r>
            <w:r>
              <w:rPr>
                <w:rFonts w:hint="eastAsia" w:ascii="方正仿宋_GBK" w:hAnsi="方正仿宋_GBK" w:eastAsia="方正仿宋_GBK" w:cs="方正仿宋_GBK"/>
                <w:sz w:val="24"/>
              </w:rPr>
              <w:t>方案要求完成土壤重构工程（</w:t>
            </w:r>
            <w:r>
              <w:rPr>
                <w:rFonts w:hint="eastAsia" w:ascii="方正仿宋_GBK" w:hAnsi="方正仿宋_GBK" w:eastAsia="方正仿宋_GBK" w:cs="方正仿宋_GBK"/>
                <w:sz w:val="24"/>
                <w:lang w:eastAsia="zh-CN"/>
              </w:rPr>
              <w:t>土壤改良</w:t>
            </w:r>
            <w:r>
              <w:rPr>
                <w:rFonts w:hint="eastAsia" w:ascii="方正仿宋_GBK" w:hAnsi="方正仿宋_GBK" w:eastAsia="方正仿宋_GBK" w:cs="方正仿宋_GBK"/>
                <w:sz w:val="24"/>
              </w:rPr>
              <w:t>、施加土壤有机肥</w:t>
            </w:r>
            <w:r>
              <w:rPr>
                <w:rFonts w:hint="eastAsia" w:ascii="方正仿宋_GBK" w:hAnsi="方正仿宋_GBK" w:eastAsia="方正仿宋_GBK" w:cs="方正仿宋_GBK"/>
                <w:sz w:val="24"/>
                <w:lang w:eastAsia="zh-CN"/>
              </w:rPr>
              <w:t>、种植植物、</w:t>
            </w:r>
            <w:r>
              <w:rPr>
                <w:rFonts w:hint="eastAsia" w:ascii="方正仿宋_GBK" w:hAnsi="方正仿宋_GBK" w:eastAsia="方正仿宋_GBK" w:cs="方正仿宋_GBK"/>
                <w:sz w:val="24"/>
                <w:lang w:val="en-US" w:eastAsia="zh-CN"/>
              </w:rPr>
              <w:t>撒播草籽</w:t>
            </w:r>
            <w:r>
              <w:rPr>
                <w:rFonts w:hint="eastAsia" w:ascii="方正仿宋_GBK" w:hAnsi="方正仿宋_GBK" w:eastAsia="方正仿宋_GBK" w:cs="方正仿宋_GBK"/>
                <w:sz w:val="24"/>
              </w:rPr>
              <w:t>）、监测工程及管护</w:t>
            </w:r>
            <w:r>
              <w:rPr>
                <w:rFonts w:hint="eastAsia" w:ascii="方正仿宋_GBK" w:hAnsi="方正仿宋_GBK" w:eastAsia="方正仿宋_GBK" w:cs="方正仿宋_GBK"/>
                <w:sz w:val="24"/>
                <w:lang w:eastAsia="zh-CN"/>
              </w:rPr>
              <w:t>（警示牌、</w:t>
            </w:r>
            <w:r>
              <w:rPr>
                <w:rFonts w:hint="eastAsia" w:ascii="方正仿宋_GBK" w:hAnsi="方正仿宋_GBK" w:eastAsia="方正仿宋_GBK" w:cs="方正仿宋_GBK"/>
                <w:sz w:val="24"/>
                <w:lang w:val="en-US" w:eastAsia="zh-CN"/>
              </w:rPr>
              <w:t>安全大门上锁</w:t>
            </w:r>
            <w:r>
              <w:rPr>
                <w:rFonts w:hint="eastAsia" w:ascii="方正仿宋_GBK" w:hAnsi="方正仿宋_GBK" w:eastAsia="方正仿宋_GBK" w:cs="方正仿宋_GBK"/>
                <w:sz w:val="24"/>
                <w:lang w:eastAsia="zh-CN"/>
              </w:rPr>
              <w:t>）、场地</w:t>
            </w:r>
            <w:r>
              <w:rPr>
                <w:rFonts w:hint="eastAsia" w:ascii="方正仿宋_GBK" w:hAnsi="方正仿宋_GBK" w:eastAsia="方正仿宋_GBK" w:cs="方正仿宋_GBK"/>
                <w:sz w:val="24"/>
              </w:rPr>
              <w:t>平整</w:t>
            </w:r>
            <w:r>
              <w:rPr>
                <w:rFonts w:hint="eastAsia" w:ascii="方正仿宋_GBK" w:hAnsi="方正仿宋_GBK" w:eastAsia="方正仿宋_GBK" w:cs="方正仿宋_GBK"/>
                <w:sz w:val="24"/>
                <w:lang w:eastAsia="zh-CN"/>
              </w:rPr>
              <w:t>与</w:t>
            </w:r>
            <w:r>
              <w:rPr>
                <w:rFonts w:hint="eastAsia" w:ascii="方正仿宋_GBK" w:hAnsi="方正仿宋_GBK" w:eastAsia="方正仿宋_GBK" w:cs="方正仿宋_GBK"/>
                <w:sz w:val="24"/>
              </w:rPr>
              <w:t>排水工程，基本达到复垦目标要求，后期需持续做好管护工作，定期对地块树木生长情况进行监测及补种，到管护期结束时达到有林地郁闭度要求。</w:t>
            </w:r>
          </w:p>
        </w:tc>
      </w:tr>
      <w:tr w14:paraId="7B450F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6" w:hRule="atLeast"/>
          <w:jc w:val="center"/>
        </w:trPr>
        <w:tc>
          <w:tcPr>
            <w:tcW w:w="620" w:type="dxa"/>
            <w:vAlign w:val="center"/>
          </w:tcPr>
          <w:p w14:paraId="0072F093">
            <w:pPr>
              <w:spacing w:line="360" w:lineRule="exact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8</w:t>
            </w:r>
          </w:p>
        </w:tc>
        <w:tc>
          <w:tcPr>
            <w:tcW w:w="1762" w:type="dxa"/>
            <w:vAlign w:val="center"/>
          </w:tcPr>
          <w:p w14:paraId="1E4B2B20">
            <w:pPr>
              <w:spacing w:line="360" w:lineRule="exact"/>
              <w:jc w:val="center"/>
              <w:rPr>
                <w:rFonts w:ascii="方正黑体_GBK" w:hAnsi="方正黑体_GBK" w:eastAsia="方正黑体_GBK" w:cs="方正黑体_GBK"/>
                <w:sz w:val="24"/>
              </w:rPr>
            </w:pPr>
            <w:r>
              <w:rPr>
                <w:rFonts w:hint="eastAsia" w:ascii="方正黑体_GBK" w:hAnsi="方正黑体_GBK" w:eastAsia="方正黑体_GBK" w:cs="方正黑体_GBK"/>
                <w:sz w:val="24"/>
              </w:rPr>
              <w:t>附件</w:t>
            </w:r>
          </w:p>
        </w:tc>
        <w:tc>
          <w:tcPr>
            <w:tcW w:w="7170" w:type="dxa"/>
            <w:vAlign w:val="center"/>
          </w:tcPr>
          <w:p w14:paraId="76B5FDF5">
            <w:pPr>
              <w:spacing w:line="360" w:lineRule="exact"/>
              <w:jc w:val="left"/>
              <w:rPr>
                <w:rFonts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lang w:val="en-US" w:eastAsia="zh-CN"/>
              </w:rPr>
              <w:t>东源金利矿业有限公司坭坑石场</w:t>
            </w:r>
            <w:r>
              <w:rPr>
                <w:rFonts w:hint="eastAsia" w:ascii="方正仿宋_GBK" w:hAnsi="方正仿宋_GBK" w:eastAsia="方正仿宋_GBK" w:cs="方正仿宋_GBK"/>
                <w:bCs/>
                <w:sz w:val="24"/>
                <w:lang w:val="en-US" w:eastAsia="zh-CN"/>
              </w:rPr>
              <w:t>治理区范围</w:t>
            </w:r>
            <w:r>
              <w:rPr>
                <w:rFonts w:hint="eastAsia" w:ascii="方正仿宋_GBK" w:hAnsi="方正仿宋_GBK" w:eastAsia="方正仿宋_GBK" w:cs="方正仿宋_GBK"/>
                <w:bCs/>
                <w:sz w:val="24"/>
              </w:rPr>
              <w:t>、现场</w:t>
            </w:r>
            <w:r>
              <w:rPr>
                <w:rFonts w:hint="eastAsia" w:ascii="方正仿宋_GBK" w:hAnsi="方正仿宋_GBK" w:eastAsia="方正仿宋_GBK" w:cs="方正仿宋_GBK"/>
                <w:bCs/>
                <w:sz w:val="24"/>
                <w:lang w:val="en-US" w:eastAsia="zh-CN"/>
              </w:rPr>
              <w:t>生态修复</w:t>
            </w:r>
            <w:r>
              <w:rPr>
                <w:rFonts w:hint="eastAsia" w:ascii="方正仿宋_GBK" w:hAnsi="方正仿宋_GBK" w:eastAsia="方正仿宋_GBK" w:cs="方正仿宋_GBK"/>
                <w:bCs/>
                <w:sz w:val="24"/>
              </w:rPr>
              <w:t>照片、</w:t>
            </w:r>
            <w:r>
              <w:rPr>
                <w:rFonts w:hint="eastAsia" w:ascii="方正仿宋_GBK" w:hAnsi="方正仿宋_GBK" w:eastAsia="方正仿宋_GBK" w:cs="方正仿宋_GBK"/>
                <w:bCs/>
                <w:sz w:val="24"/>
                <w:lang w:val="en-US" w:eastAsia="zh-CN"/>
              </w:rPr>
              <w:t>生态修复</w:t>
            </w:r>
            <w:r>
              <w:rPr>
                <w:rFonts w:hint="eastAsia" w:ascii="方正仿宋_GBK" w:hAnsi="方正仿宋_GBK" w:eastAsia="方正仿宋_GBK" w:cs="方正仿宋_GBK"/>
                <w:bCs/>
                <w:sz w:val="24"/>
              </w:rPr>
              <w:t>竣工图</w:t>
            </w:r>
          </w:p>
        </w:tc>
      </w:tr>
    </w:tbl>
    <w:p w14:paraId="65217EA9">
      <w:pPr>
        <w:spacing w:line="360" w:lineRule="exact"/>
        <w:rPr>
          <w:rFonts w:ascii="方正黑体_GBK" w:hAnsi="方正黑体_GBK" w:eastAsia="方正黑体_GBK" w:cs="方正黑体_GBK"/>
          <w:bCs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b/>
          <w:sz w:val="32"/>
          <w:szCs w:val="32"/>
        </w:rPr>
        <w:t>一、</w:t>
      </w:r>
      <w:r>
        <w:rPr>
          <w:rFonts w:hint="eastAsia" w:ascii="方正黑体_GBK" w:hAnsi="方正黑体_GBK" w:eastAsia="方正黑体_GBK" w:cs="方正黑体_GBK"/>
          <w:bCs/>
          <w:sz w:val="32"/>
          <w:szCs w:val="32"/>
          <w:lang w:val="en-US" w:eastAsia="zh-CN"/>
        </w:rPr>
        <w:t>治理区</w:t>
      </w:r>
      <w:r>
        <w:rPr>
          <w:rFonts w:hint="eastAsia" w:ascii="方正黑体_GBK" w:hAnsi="方正黑体_GBK" w:eastAsia="方正黑体_GBK" w:cs="方正黑体_GBK"/>
          <w:bCs/>
          <w:sz w:val="32"/>
          <w:szCs w:val="32"/>
        </w:rPr>
        <w:t>范围</w:t>
      </w:r>
    </w:p>
    <w:p w14:paraId="3BB41152">
      <w:pPr>
        <w:spacing w:line="240" w:lineRule="auto"/>
        <w:rPr>
          <w:rFonts w:hint="eastAsia" w:ascii="方正黑体_GBK" w:hAnsi="方正黑体_GBK" w:eastAsia="方正黑体_GBK" w:cs="方正黑体_GBK"/>
          <w:sz w:val="32"/>
          <w:szCs w:val="32"/>
          <w:lang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eastAsia="zh-CN"/>
        </w:rPr>
        <w:drawing>
          <wp:inline distT="0" distB="0" distL="114300" distR="114300">
            <wp:extent cx="5276850" cy="4562475"/>
            <wp:effectExtent l="0" t="0" r="0" b="9525"/>
            <wp:docPr id="2" name="图片 2" descr="生态修复前航拍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生态修复前航拍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A70B3">
      <w:pPr>
        <w:spacing w:line="360" w:lineRule="exact"/>
        <w:rPr>
          <w:rFonts w:ascii="方正黑体_GBK" w:hAnsi="方正黑体_GBK" w:eastAsia="方正黑体_GBK" w:cs="方正黑体_GBK"/>
          <w:sz w:val="32"/>
          <w:szCs w:val="32"/>
        </w:rPr>
      </w:pPr>
    </w:p>
    <w:p w14:paraId="76780832">
      <w:pPr>
        <w:spacing w:line="360" w:lineRule="exact"/>
        <w:rPr>
          <w:rFonts w:ascii="方正黑体_GBK" w:hAnsi="方正黑体_GBK" w:eastAsia="方正黑体_GBK" w:cs="方正黑体_GBK"/>
          <w:sz w:val="32"/>
          <w:szCs w:val="32"/>
        </w:rPr>
      </w:pPr>
    </w:p>
    <w:p w14:paraId="5BE428E8">
      <w:pPr>
        <w:spacing w:line="360" w:lineRule="exact"/>
        <w:rPr>
          <w:rFonts w:ascii="方正黑体_GBK" w:hAnsi="方正黑体_GBK" w:eastAsia="方正黑体_GBK" w:cs="方正黑体_GBK"/>
          <w:sz w:val="32"/>
          <w:szCs w:val="32"/>
        </w:rPr>
      </w:pPr>
    </w:p>
    <w:p w14:paraId="21A7CE0D">
      <w:pPr>
        <w:spacing w:line="360" w:lineRule="exact"/>
        <w:rPr>
          <w:rFonts w:ascii="方正黑体_GBK" w:hAnsi="方正黑体_GBK" w:eastAsia="方正黑体_GBK" w:cs="方正黑体_GBK"/>
          <w:sz w:val="32"/>
          <w:szCs w:val="32"/>
        </w:rPr>
      </w:pPr>
    </w:p>
    <w:p w14:paraId="3EA35AC0">
      <w:pPr>
        <w:spacing w:line="360" w:lineRule="exact"/>
        <w:rPr>
          <w:rFonts w:ascii="方正黑体_GBK" w:hAnsi="方正黑体_GBK" w:eastAsia="方正黑体_GBK" w:cs="方正黑体_GBK"/>
          <w:sz w:val="32"/>
          <w:szCs w:val="32"/>
        </w:rPr>
      </w:pPr>
    </w:p>
    <w:p w14:paraId="27710ABE">
      <w:pPr>
        <w:spacing w:line="360" w:lineRule="exact"/>
        <w:rPr>
          <w:rFonts w:ascii="方正黑体_GBK" w:hAnsi="方正黑体_GBK" w:eastAsia="方正黑体_GBK" w:cs="方正黑体_GBK"/>
          <w:sz w:val="32"/>
          <w:szCs w:val="32"/>
        </w:rPr>
      </w:pPr>
    </w:p>
    <w:p w14:paraId="6FF6AA23">
      <w:pPr>
        <w:spacing w:line="360" w:lineRule="exact"/>
        <w:rPr>
          <w:rFonts w:ascii="方正黑体_GBK" w:hAnsi="方正黑体_GBK" w:eastAsia="方正黑体_GBK" w:cs="方正黑体_GBK"/>
          <w:sz w:val="32"/>
          <w:szCs w:val="32"/>
        </w:rPr>
      </w:pPr>
    </w:p>
    <w:p w14:paraId="715350B5">
      <w:pPr>
        <w:spacing w:line="360" w:lineRule="exact"/>
        <w:rPr>
          <w:rFonts w:ascii="方正黑体_GBK" w:hAnsi="方正黑体_GBK" w:eastAsia="方正黑体_GBK" w:cs="方正黑体_GBK"/>
          <w:sz w:val="32"/>
          <w:szCs w:val="32"/>
        </w:rPr>
      </w:pPr>
    </w:p>
    <w:p w14:paraId="026007FF">
      <w:pPr>
        <w:spacing w:line="360" w:lineRule="exact"/>
        <w:rPr>
          <w:rFonts w:ascii="方正黑体_GBK" w:hAnsi="方正黑体_GBK" w:eastAsia="方正黑体_GBK" w:cs="方正黑体_GBK"/>
          <w:sz w:val="32"/>
          <w:szCs w:val="32"/>
        </w:rPr>
      </w:pPr>
    </w:p>
    <w:p w14:paraId="367A5A34">
      <w:pPr>
        <w:spacing w:line="360" w:lineRule="exact"/>
        <w:rPr>
          <w:rFonts w:ascii="方正黑体_GBK" w:hAnsi="方正黑体_GBK" w:eastAsia="方正黑体_GBK" w:cs="方正黑体_GBK"/>
          <w:sz w:val="32"/>
          <w:szCs w:val="32"/>
        </w:rPr>
      </w:pPr>
    </w:p>
    <w:p w14:paraId="20FC6A9C">
      <w:pPr>
        <w:spacing w:line="360" w:lineRule="exact"/>
        <w:rPr>
          <w:rFonts w:ascii="方正黑体_GBK" w:hAnsi="方正黑体_GBK" w:eastAsia="方正黑体_GBK" w:cs="方正黑体_GBK"/>
          <w:sz w:val="32"/>
          <w:szCs w:val="32"/>
        </w:rPr>
      </w:pPr>
    </w:p>
    <w:p w14:paraId="450FC2E4">
      <w:pPr>
        <w:spacing w:line="360" w:lineRule="exact"/>
        <w:rPr>
          <w:rFonts w:ascii="方正黑体_GBK" w:hAnsi="方正黑体_GBK" w:eastAsia="方正黑体_GBK" w:cs="方正黑体_GBK"/>
          <w:sz w:val="32"/>
          <w:szCs w:val="32"/>
        </w:rPr>
      </w:pPr>
    </w:p>
    <w:p w14:paraId="3E51D31B">
      <w:pPr>
        <w:spacing w:line="360" w:lineRule="exact"/>
        <w:rPr>
          <w:rFonts w:ascii="方正黑体_GBK" w:hAnsi="方正黑体_GBK" w:eastAsia="方正黑体_GBK" w:cs="方正黑体_GBK"/>
          <w:sz w:val="32"/>
          <w:szCs w:val="32"/>
        </w:rPr>
      </w:pPr>
    </w:p>
    <w:p w14:paraId="469CFE8B">
      <w:pPr>
        <w:spacing w:line="360" w:lineRule="exact"/>
        <w:rPr>
          <w:rFonts w:ascii="方正黑体_GBK" w:hAnsi="方正黑体_GBK" w:eastAsia="方正黑体_GBK" w:cs="方正黑体_GBK"/>
          <w:sz w:val="32"/>
          <w:szCs w:val="32"/>
        </w:rPr>
      </w:pPr>
    </w:p>
    <w:p w14:paraId="248B981F">
      <w:pPr>
        <w:spacing w:line="360" w:lineRule="exact"/>
        <w:rPr>
          <w:rFonts w:ascii="方正黑体_GBK" w:hAnsi="方正黑体_GBK" w:eastAsia="方正黑体_GBK" w:cs="方正黑体_GBK"/>
          <w:sz w:val="32"/>
          <w:szCs w:val="32"/>
        </w:rPr>
      </w:pPr>
    </w:p>
    <w:p w14:paraId="31ED9D4D">
      <w:pPr>
        <w:spacing w:line="360" w:lineRule="exact"/>
        <w:rPr>
          <w:rFonts w:ascii="方正黑体_GBK" w:hAnsi="方正黑体_GBK" w:eastAsia="方正黑体_GBK" w:cs="方正黑体_GBK"/>
          <w:sz w:val="32"/>
          <w:szCs w:val="32"/>
        </w:rPr>
      </w:pPr>
    </w:p>
    <w:p w14:paraId="20C33B30">
      <w:pPr>
        <w:spacing w:line="360" w:lineRule="exact"/>
        <w:rPr>
          <w:rFonts w:ascii="方正黑体_GBK" w:hAnsi="方正黑体_GBK" w:eastAsia="方正黑体_GBK" w:cs="方正黑体_GBK"/>
          <w:sz w:val="32"/>
          <w:szCs w:val="32"/>
        </w:rPr>
      </w:pPr>
    </w:p>
    <w:p w14:paraId="1EE1B71F">
      <w:pPr>
        <w:spacing w:line="360" w:lineRule="exact"/>
        <w:rPr>
          <w:rFonts w:ascii="方正黑体_GBK" w:hAnsi="方正黑体_GBK" w:eastAsia="方正黑体_GBK" w:cs="方正黑体_GBK"/>
          <w:sz w:val="32"/>
          <w:szCs w:val="32"/>
        </w:rPr>
      </w:pPr>
    </w:p>
    <w:p w14:paraId="63AD53EE">
      <w:pPr>
        <w:spacing w:line="360" w:lineRule="exact"/>
        <w:rPr>
          <w:rFonts w:ascii="方正黑体_GBK" w:hAnsi="方正黑体_GBK" w:eastAsia="方正黑体_GBK" w:cs="方正黑体_GBK"/>
          <w:sz w:val="32"/>
          <w:szCs w:val="32"/>
        </w:rPr>
      </w:pPr>
    </w:p>
    <w:p w14:paraId="2ED33167">
      <w:pPr>
        <w:spacing w:line="360" w:lineRule="exact"/>
        <w:outlineLvl w:val="0"/>
        <w:rPr>
          <w:rFonts w:ascii="方正黑体_GBK" w:hAnsi="方正黑体_GBK" w:eastAsia="方正黑体_GBK" w:cs="方正黑体_GBK"/>
          <w:b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二、现场复垦照片</w:t>
      </w:r>
      <w:r>
        <w:rPr>
          <w:rFonts w:hint="eastAsia" w:ascii="方正黑体_GBK" w:hAnsi="方正黑体_GBK" w:eastAsia="方正黑体_GBK" w:cs="方正黑体_GBK"/>
          <w:b/>
          <w:sz w:val="32"/>
          <w:szCs w:val="32"/>
        </w:rPr>
        <w:t>：</w:t>
      </w:r>
    </w:p>
    <w:p w14:paraId="29FA94EC">
      <w:pPr>
        <w:jc w:val="center"/>
        <w:rPr>
          <w:b/>
          <w:sz w:val="32"/>
          <w:szCs w:val="32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4362450</wp:posOffset>
            </wp:positionV>
            <wp:extent cx="5253990" cy="3940175"/>
            <wp:effectExtent l="0" t="0" r="3810" b="3175"/>
            <wp:wrapSquare wrapText="bothSides"/>
            <wp:docPr id="44" name="图片 44" descr="IMG_20240701_110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IMG_20240701_11044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75565</wp:posOffset>
            </wp:positionV>
            <wp:extent cx="5253990" cy="3940175"/>
            <wp:effectExtent l="0" t="0" r="3810" b="3175"/>
            <wp:wrapSquare wrapText="bothSides"/>
            <wp:docPr id="38" name="图片 38" descr="IMG_20240701_105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IMG_20240701_10505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E6A778">
      <w:pPr>
        <w:spacing w:line="360" w:lineRule="exact"/>
        <w:outlineLvl w:val="0"/>
        <w:rPr>
          <w:rFonts w:ascii="方正黑体_GBK" w:hAnsi="方正黑体_GBK" w:eastAsia="方正黑体_GBK" w:cs="方正黑体_GBK"/>
          <w:b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三、复垦竣工图</w:t>
      </w:r>
      <w:r>
        <w:rPr>
          <w:rFonts w:hint="eastAsia" w:ascii="方正黑体_GBK" w:hAnsi="方正黑体_GBK" w:eastAsia="方正黑体_GBK" w:cs="方正黑体_GBK"/>
          <w:b/>
          <w:sz w:val="32"/>
          <w:szCs w:val="32"/>
        </w:rPr>
        <w:t>：</w:t>
      </w:r>
    </w:p>
    <w:p w14:paraId="4711E32D">
      <w:pPr>
        <w:jc w:val="center"/>
        <w:rPr>
          <w:b/>
          <w:sz w:val="32"/>
          <w:szCs w:val="32"/>
        </w:rPr>
      </w:pPr>
    </w:p>
    <w:p w14:paraId="606A8FC9">
      <w:pPr>
        <w:jc w:val="center"/>
        <w:rPr>
          <w:rFonts w:hint="eastAsia" w:eastAsiaTheme="minorEastAsia"/>
          <w:b/>
          <w:sz w:val="32"/>
          <w:szCs w:val="32"/>
          <w:lang w:eastAsia="zh-CN"/>
        </w:rPr>
      </w:pPr>
      <w:r>
        <w:rPr>
          <w:rFonts w:hint="eastAsia" w:eastAsiaTheme="minorEastAsia"/>
          <w:b/>
          <w:sz w:val="32"/>
          <w:szCs w:val="32"/>
          <w:lang w:eastAsia="zh-CN"/>
        </w:rPr>
        <w:drawing>
          <wp:inline distT="0" distB="0" distL="114300" distR="114300">
            <wp:extent cx="5248910" cy="7260590"/>
            <wp:effectExtent l="0" t="0" r="8890" b="16510"/>
            <wp:docPr id="3" name="图片 3" descr="竣工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竣工图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726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3BF23">
      <w:pPr>
        <w:jc w:val="center"/>
        <w:rPr>
          <w:b/>
          <w:sz w:val="32"/>
          <w:szCs w:val="32"/>
        </w:rPr>
      </w:pPr>
    </w:p>
    <w:p w14:paraId="54A1B5DD">
      <w:pPr>
        <w:jc w:val="center"/>
        <w:rPr>
          <w:b/>
          <w:sz w:val="32"/>
          <w:szCs w:val="32"/>
        </w:rPr>
      </w:pPr>
    </w:p>
    <w:p w14:paraId="52117EB3">
      <w:pPr>
        <w:jc w:val="center"/>
        <w:rPr>
          <w:b/>
          <w:sz w:val="32"/>
          <w:szCs w:val="32"/>
        </w:rPr>
      </w:pPr>
    </w:p>
    <w:p w14:paraId="4A27254A">
      <w:pPr>
        <w:jc w:val="center"/>
        <w:rPr>
          <w:b/>
          <w:sz w:val="32"/>
          <w:szCs w:val="32"/>
        </w:rPr>
      </w:pPr>
    </w:p>
    <w:p w14:paraId="08961A87">
      <w:pPr>
        <w:jc w:val="center"/>
        <w:rPr>
          <w:b/>
          <w:sz w:val="32"/>
          <w:szCs w:val="32"/>
        </w:rPr>
      </w:pPr>
    </w:p>
    <w:p w14:paraId="0F8FA60A">
      <w:pPr>
        <w:jc w:val="center"/>
        <w:rPr>
          <w:b/>
          <w:sz w:val="32"/>
          <w:szCs w:val="32"/>
        </w:rPr>
      </w:pPr>
    </w:p>
    <w:sectPr>
      <w:pgSz w:w="11906" w:h="16838"/>
      <w:pgMar w:top="1134" w:right="1797" w:bottom="1134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NlZjFmMDY3MzY0NTM4MTU5MzZmM2VhNzUxNzkzYzcifQ=="/>
  </w:docVars>
  <w:rsids>
    <w:rsidRoot w:val="004357A4"/>
    <w:rsid w:val="000146BA"/>
    <w:rsid w:val="00064D28"/>
    <w:rsid w:val="00071118"/>
    <w:rsid w:val="000871F1"/>
    <w:rsid w:val="000C2FBC"/>
    <w:rsid w:val="000E0C44"/>
    <w:rsid w:val="000E4A70"/>
    <w:rsid w:val="00132C02"/>
    <w:rsid w:val="00167E12"/>
    <w:rsid w:val="00207C35"/>
    <w:rsid w:val="00253D97"/>
    <w:rsid w:val="00273C36"/>
    <w:rsid w:val="002B41F8"/>
    <w:rsid w:val="002D03C5"/>
    <w:rsid w:val="002F2CA2"/>
    <w:rsid w:val="002F4193"/>
    <w:rsid w:val="00312AB3"/>
    <w:rsid w:val="003277E9"/>
    <w:rsid w:val="003337CB"/>
    <w:rsid w:val="003347B4"/>
    <w:rsid w:val="003477F2"/>
    <w:rsid w:val="003839F3"/>
    <w:rsid w:val="003A5B69"/>
    <w:rsid w:val="003C6ED0"/>
    <w:rsid w:val="004357A4"/>
    <w:rsid w:val="0045173C"/>
    <w:rsid w:val="00480278"/>
    <w:rsid w:val="004A6001"/>
    <w:rsid w:val="005067F0"/>
    <w:rsid w:val="00521EB2"/>
    <w:rsid w:val="00525795"/>
    <w:rsid w:val="0058007A"/>
    <w:rsid w:val="0058061B"/>
    <w:rsid w:val="005960A1"/>
    <w:rsid w:val="005A2DC9"/>
    <w:rsid w:val="005B1946"/>
    <w:rsid w:val="005C0EFA"/>
    <w:rsid w:val="005C7E7E"/>
    <w:rsid w:val="00624823"/>
    <w:rsid w:val="006663CD"/>
    <w:rsid w:val="006715EF"/>
    <w:rsid w:val="00676FFB"/>
    <w:rsid w:val="006D0AA4"/>
    <w:rsid w:val="006E5931"/>
    <w:rsid w:val="006F15F2"/>
    <w:rsid w:val="006F4EB9"/>
    <w:rsid w:val="0074286C"/>
    <w:rsid w:val="0074698F"/>
    <w:rsid w:val="007C4A63"/>
    <w:rsid w:val="007D23B9"/>
    <w:rsid w:val="0080781A"/>
    <w:rsid w:val="00856B85"/>
    <w:rsid w:val="008578FB"/>
    <w:rsid w:val="00891C6E"/>
    <w:rsid w:val="0091463D"/>
    <w:rsid w:val="0094096B"/>
    <w:rsid w:val="009513ED"/>
    <w:rsid w:val="009547FE"/>
    <w:rsid w:val="00967681"/>
    <w:rsid w:val="00972B1F"/>
    <w:rsid w:val="009823D2"/>
    <w:rsid w:val="00995F0B"/>
    <w:rsid w:val="00A5643D"/>
    <w:rsid w:val="00AA219B"/>
    <w:rsid w:val="00B11AED"/>
    <w:rsid w:val="00B95E62"/>
    <w:rsid w:val="00BF09B3"/>
    <w:rsid w:val="00CB2CB8"/>
    <w:rsid w:val="00CD7BB9"/>
    <w:rsid w:val="00D07133"/>
    <w:rsid w:val="00D711B6"/>
    <w:rsid w:val="00D838B9"/>
    <w:rsid w:val="00D876E9"/>
    <w:rsid w:val="00DB36EB"/>
    <w:rsid w:val="00DE742E"/>
    <w:rsid w:val="00E87FEF"/>
    <w:rsid w:val="00EA6A8B"/>
    <w:rsid w:val="00EA75EC"/>
    <w:rsid w:val="00EC4061"/>
    <w:rsid w:val="00ED75FD"/>
    <w:rsid w:val="00EE6E63"/>
    <w:rsid w:val="00F51FA2"/>
    <w:rsid w:val="00FA4FF5"/>
    <w:rsid w:val="00FB0EC9"/>
    <w:rsid w:val="00FC312A"/>
    <w:rsid w:val="00FE1F32"/>
    <w:rsid w:val="111C16BF"/>
    <w:rsid w:val="115E722E"/>
    <w:rsid w:val="232F539D"/>
    <w:rsid w:val="238F72B6"/>
    <w:rsid w:val="29172D2B"/>
    <w:rsid w:val="2A6A6763"/>
    <w:rsid w:val="32E10FF3"/>
    <w:rsid w:val="367D0E20"/>
    <w:rsid w:val="38D004F4"/>
    <w:rsid w:val="429338D8"/>
    <w:rsid w:val="4A2B7F77"/>
    <w:rsid w:val="4BC52D55"/>
    <w:rsid w:val="4C8F6641"/>
    <w:rsid w:val="519758C5"/>
    <w:rsid w:val="522346A4"/>
    <w:rsid w:val="605823D8"/>
    <w:rsid w:val="728E539F"/>
    <w:rsid w:val="78251155"/>
    <w:rsid w:val="78E13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2"/>
    <w:qFormat/>
    <w:uiPriority w:val="0"/>
    <w:rPr>
      <w:sz w:val="18"/>
      <w:szCs w:val="18"/>
    </w:rPr>
  </w:style>
  <w:style w:type="paragraph" w:styleId="4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8"/>
    <w:link w:val="5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8"/>
    <w:link w:val="4"/>
    <w:qFormat/>
    <w:uiPriority w:val="0"/>
    <w:rPr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2">
    <w:name w:val="批注框文本 Char"/>
    <w:basedOn w:val="8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773</Words>
  <Characters>845</Characters>
  <Lines>7</Lines>
  <Paragraphs>2</Paragraphs>
  <TotalTime>4</TotalTime>
  <ScaleCrop>false</ScaleCrop>
  <LinksUpToDate>false</LinksUpToDate>
  <CharactersWithSpaces>845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2022-09-04T07:52:00Z</dcterms:created>
  <dc:creator>Administrator</dc:creator>
  <cp:lastModifiedBy>Administrator</cp:lastModifiedBy>
  <cp:lastPrinted>2022-12-02T00:29:00Z</cp:lastPrinted>
  <dcterms:modified xsi:type="dcterms:W3CDTF">2024-08-30T02:13:17Z</dcterms:modified>
  <cp:revision>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F0C6B77B11CD48CD9365013D26F459C4</vt:lpwstr>
  </property>
</Properties>
</file>