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widowControl w:val="0"/>
        <w:tabs>
          <w:tab w:val="left" w:pos="900"/>
        </w:tabs>
        <w:kinsoku/>
        <w:wordWrap/>
        <w:overflowPunct/>
        <w:topLinePunct w:val="0"/>
        <w:bidi w:val="0"/>
        <w:spacing w:before="0" w:after="0" w:line="460" w:lineRule="exact"/>
        <w:ind w:firstLine="0"/>
        <w:rPr>
          <w:rFonts w:hint="eastAsia" w:ascii="仿宋_GB2312" w:eastAsia="仿宋_GB2312"/>
          <w:sz w:val="32"/>
          <w:szCs w:val="32"/>
          <w:lang w:val="en-US" w:eastAsia="zh-CN"/>
        </w:rPr>
      </w:pPr>
      <w:r>
        <w:rPr>
          <w:rFonts w:hint="eastAsia" w:ascii="仿宋_GB2312" w:eastAsia="仿宋_GB2312"/>
          <w:sz w:val="32"/>
          <w:szCs w:val="32"/>
        </w:rPr>
        <w:t>附件2</w:t>
      </w:r>
      <w:r>
        <w:rPr>
          <w:rFonts w:hint="eastAsia" w:ascii="仿宋_GB2312" w:eastAsia="仿宋_GB2312"/>
          <w:sz w:val="32"/>
          <w:szCs w:val="32"/>
          <w:lang w:val="en-US" w:eastAsia="zh-CN"/>
        </w:rPr>
        <w:t>:</w:t>
      </w:r>
    </w:p>
    <w:p>
      <w:pPr>
        <w:pStyle w:val="7"/>
        <w:pageBreakBefore w:val="0"/>
        <w:widowControl w:val="0"/>
        <w:tabs>
          <w:tab w:val="left" w:pos="900"/>
        </w:tabs>
        <w:kinsoku/>
        <w:wordWrap/>
        <w:overflowPunct/>
        <w:topLinePunct w:val="0"/>
        <w:bidi w:val="0"/>
        <w:spacing w:before="0" w:after="0" w:line="460" w:lineRule="exact"/>
        <w:ind w:firstLine="0"/>
        <w:jc w:val="center"/>
        <w:rPr>
          <w:rFonts w:hint="eastAsia" w:ascii="仿宋_GB2312" w:eastAsia="仿宋_GB2312"/>
          <w:sz w:val="32"/>
          <w:szCs w:val="32"/>
          <w:lang w:val="en-US" w:eastAsia="zh-CN"/>
        </w:rPr>
      </w:pPr>
    </w:p>
    <w:p>
      <w:pPr>
        <w:pageBreakBefore w:val="0"/>
        <w:widowControl w:val="0"/>
        <w:kinsoku/>
        <w:wordWrap/>
        <w:overflowPunct/>
        <w:topLinePunct w:val="0"/>
        <w:bidi w:val="0"/>
        <w:spacing w:line="600" w:lineRule="exact"/>
        <w:jc w:val="center"/>
        <w:rPr>
          <w:rFonts w:hint="eastAsia" w:ascii="宋体" w:hAnsi="宋体"/>
          <w:b/>
          <w:sz w:val="44"/>
          <w:szCs w:val="44"/>
        </w:rPr>
      </w:pPr>
      <w:r>
        <w:rPr>
          <w:rFonts w:hint="eastAsia" w:ascii="宋体" w:hAnsi="宋体"/>
          <w:b/>
          <w:sz w:val="44"/>
          <w:szCs w:val="44"/>
        </w:rPr>
        <w:t>河源市市级企业技术中心评价材料</w:t>
      </w:r>
    </w:p>
    <w:p>
      <w:pPr>
        <w:pageBreakBefore w:val="0"/>
        <w:widowControl w:val="0"/>
        <w:kinsoku/>
        <w:wordWrap/>
        <w:overflowPunct/>
        <w:topLinePunct w:val="0"/>
        <w:bidi w:val="0"/>
        <w:spacing w:line="334" w:lineRule="atLeast"/>
        <w:jc w:val="center"/>
        <w:textAlignment w:val="baseline"/>
        <w:rPr>
          <w:rFonts w:hint="eastAsia" w:ascii="宋体" w:hAnsi="宋体"/>
          <w:b/>
          <w:sz w:val="36"/>
          <w:szCs w:val="30"/>
        </w:rPr>
      </w:pPr>
    </w:p>
    <w:p>
      <w:pPr>
        <w:pageBreakBefore w:val="0"/>
        <w:widowControl w:val="0"/>
        <w:numPr>
          <w:ilvl w:val="0"/>
          <w:numId w:val="1"/>
        </w:numPr>
        <w:kinsoku/>
        <w:wordWrap/>
        <w:overflowPunct/>
        <w:topLinePunct w:val="0"/>
        <w:bidi w:val="0"/>
        <w:spacing w:line="334" w:lineRule="atLeast"/>
        <w:textAlignment w:val="baseline"/>
        <w:rPr>
          <w:rFonts w:hint="eastAsia" w:ascii="黑体" w:hAnsi="宋体" w:eastAsia="黑体"/>
          <w:sz w:val="32"/>
          <w:szCs w:val="32"/>
        </w:rPr>
      </w:pPr>
      <w:r>
        <w:rPr>
          <w:rFonts w:hint="eastAsia" w:ascii="黑体" w:hAnsi="宋体" w:eastAsia="黑体"/>
          <w:sz w:val="32"/>
          <w:szCs w:val="32"/>
        </w:rPr>
        <w:t>企业技术中心评价表</w:t>
      </w:r>
    </w:p>
    <w:p>
      <w:pPr>
        <w:pageBreakBefore w:val="0"/>
        <w:widowControl w:val="0"/>
        <w:kinsoku/>
        <w:wordWrap/>
        <w:overflowPunct/>
        <w:topLinePunct w:val="0"/>
        <w:bidi w:val="0"/>
        <w:spacing w:line="560" w:lineRule="exact"/>
        <w:jc w:val="center"/>
        <w:rPr>
          <w:rFonts w:hAnsi="宋体"/>
          <w:b/>
          <w:sz w:val="32"/>
          <w:szCs w:val="36"/>
        </w:rPr>
      </w:pPr>
      <w:r>
        <w:rPr>
          <w:rFonts w:hint="eastAsia" w:hAnsi="宋体"/>
          <w:b/>
          <w:sz w:val="32"/>
          <w:szCs w:val="36"/>
        </w:rPr>
        <w:t>河源</w:t>
      </w:r>
      <w:r>
        <w:rPr>
          <w:rFonts w:hAnsi="宋体"/>
          <w:b/>
          <w:sz w:val="32"/>
          <w:szCs w:val="36"/>
        </w:rPr>
        <w:t>市市级企业技术中心评价表</w:t>
      </w:r>
    </w:p>
    <w:p>
      <w:pPr>
        <w:pageBreakBefore w:val="0"/>
        <w:widowControl w:val="0"/>
        <w:kinsoku/>
        <w:wordWrap/>
        <w:overflowPunct/>
        <w:topLinePunct w:val="0"/>
        <w:bidi w:val="0"/>
        <w:spacing w:line="560" w:lineRule="exact"/>
        <w:jc w:val="center"/>
        <w:rPr>
          <w:rFonts w:hAnsi="宋体"/>
          <w:b/>
          <w:sz w:val="32"/>
          <w:szCs w:val="36"/>
        </w:rPr>
      </w:pPr>
    </w:p>
    <w:tbl>
      <w:tblPr>
        <w:tblStyle w:val="4"/>
        <w:tblW w:w="9134"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0"/>
        <w:gridCol w:w="1161"/>
        <w:gridCol w:w="3611"/>
        <w:gridCol w:w="1954"/>
        <w:gridCol w:w="736"/>
        <w:gridCol w:w="1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000000" w:sz="2"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80" w:leftChars="38" w:firstLine="94" w:firstLineChars="45"/>
              <w:rPr>
                <w:szCs w:val="21"/>
              </w:rPr>
            </w:pPr>
            <w:r>
              <w:rPr>
                <w:szCs w:val="21"/>
                <w:u w:val="none" w:color="000000"/>
              </w:rPr>
              <w:t>企业名称</w:t>
            </w:r>
          </w:p>
        </w:tc>
        <w:tc>
          <w:tcPr>
            <w:tcW w:w="7413" w:type="dxa"/>
            <w:gridSpan w:val="4"/>
            <w:tcBorders>
              <w:top w:val="single" w:color="000000" w:sz="2"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通讯地址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邮政编码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所属行业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主营业务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企业负责人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联系电话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技术中心负责人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联系电话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联 系 人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联系电话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联系传真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电子邮箱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5" w:hRule="atLeast"/>
        </w:trPr>
        <w:tc>
          <w:tcPr>
            <w:tcW w:w="1721" w:type="dxa"/>
            <w:gridSpan w:val="2"/>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left="-2" w:leftChars="-1" w:firstLine="176" w:firstLineChars="84"/>
              <w:rPr>
                <w:color w:val="000000"/>
                <w:kern w:val="0"/>
                <w:szCs w:val="21"/>
              </w:rPr>
            </w:pPr>
            <w:r>
              <w:rPr>
                <w:color w:val="000000"/>
                <w:kern w:val="0"/>
                <w:szCs w:val="21"/>
              </w:rPr>
              <w:t xml:space="preserve">企业网址 </w:t>
            </w:r>
          </w:p>
        </w:tc>
        <w:tc>
          <w:tcPr>
            <w:tcW w:w="3611"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rPr>
            </w:pPr>
          </w:p>
        </w:tc>
        <w:tc>
          <w:tcPr>
            <w:tcW w:w="1954"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63" w:firstLineChars="30"/>
              <w:rPr>
                <w:color w:val="000000"/>
                <w:kern w:val="0"/>
                <w:szCs w:val="21"/>
              </w:rPr>
            </w:pPr>
            <w:r>
              <w:rPr>
                <w:color w:val="000000"/>
                <w:kern w:val="0"/>
                <w:szCs w:val="21"/>
              </w:rPr>
              <w:t xml:space="preserve">报告年度 </w:t>
            </w:r>
          </w:p>
        </w:tc>
        <w:tc>
          <w:tcPr>
            <w:tcW w:w="1848" w:type="dxa"/>
            <w:gridSpan w:val="2"/>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b/>
                <w:szCs w:val="21"/>
              </w:rPr>
            </w:pPr>
            <w:r>
              <w:rPr>
                <w:b/>
                <w:szCs w:val="21"/>
                <w:u w:val="none" w:color="000000"/>
              </w:rPr>
              <w:t>序号</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firstLine="145" w:firstLineChars="69"/>
              <w:jc w:val="center"/>
              <w:rPr>
                <w:b/>
                <w:szCs w:val="21"/>
              </w:rPr>
            </w:pPr>
            <w:r>
              <w:rPr>
                <w:b/>
                <w:szCs w:val="21"/>
                <w:u w:val="none" w:color="000000"/>
              </w:rPr>
              <w:t>定量数据名称</w:t>
            </w:r>
          </w:p>
        </w:tc>
        <w:tc>
          <w:tcPr>
            <w:tcW w:w="736"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b/>
                <w:szCs w:val="21"/>
              </w:rPr>
            </w:pPr>
            <w:r>
              <w:rPr>
                <w:b/>
                <w:szCs w:val="21"/>
                <w:u w:val="none" w:color="000000"/>
              </w:rPr>
              <w:t>单位</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b/>
                <w:szCs w:val="21"/>
              </w:rPr>
            </w:pPr>
            <w:r>
              <w:rPr>
                <w:b/>
                <w:szCs w:val="21"/>
                <w:u w:val="none" w:color="000000"/>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企业营业收入总额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企业利润总额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3</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企业产品销售收入总额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4</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（T-1）年企业产品销售收入总额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5</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u w:val="single"/>
              </w:rPr>
            </w:pPr>
            <w:r>
              <w:rPr>
                <w:color w:val="000000"/>
                <w:kern w:val="0"/>
                <w:szCs w:val="21"/>
                <w:u w:val="none"/>
              </w:rPr>
              <w:t xml:space="preserve">企业产品销售利润总额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6</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企业科技活动经费支出额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continue"/>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67" w:firstLineChars="270"/>
              <w:rPr>
                <w:color w:val="000000"/>
                <w:kern w:val="0"/>
                <w:szCs w:val="21"/>
              </w:rPr>
            </w:pPr>
            <w:r>
              <w:rPr>
                <w:color w:val="000000"/>
                <w:kern w:val="0"/>
                <w:szCs w:val="21"/>
              </w:rPr>
              <w:t xml:space="preserve">其中：企业研究与试验发展经费支出额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7</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05" w:firstLineChars="50"/>
              <w:rPr>
                <w:color w:val="000000"/>
                <w:kern w:val="0"/>
                <w:szCs w:val="21"/>
              </w:rPr>
            </w:pPr>
            <w:r>
              <w:rPr>
                <w:color w:val="000000"/>
                <w:kern w:val="0"/>
                <w:szCs w:val="21"/>
              </w:rPr>
              <w:t xml:space="preserve">（T-1）年企业科技活动经费支出额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u w:val="none"/>
              </w:rPr>
            </w:pPr>
            <w:r>
              <w:rPr>
                <w:color w:val="000000"/>
                <w:kern w:val="0"/>
                <w:szCs w:val="21"/>
                <w:u w:val="none"/>
              </w:rPr>
              <w:t>8</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u w:val="none"/>
              </w:rPr>
            </w:pPr>
            <w:r>
              <w:rPr>
                <w:color w:val="000000"/>
                <w:kern w:val="0"/>
                <w:szCs w:val="21"/>
                <w:u w:val="none"/>
              </w:rPr>
              <w:t>资产负债率</w:t>
            </w:r>
          </w:p>
        </w:tc>
        <w:tc>
          <w:tcPr>
            <w:tcW w:w="736"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u w:val="none"/>
              </w:rPr>
            </w:pPr>
            <w:r>
              <w:rPr>
                <w:color w:val="000000"/>
                <w:kern w:val="0"/>
                <w:szCs w:val="21"/>
                <w:u w:val="none"/>
              </w:rPr>
              <w:t>9</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u w:val="none"/>
              </w:rPr>
            </w:pPr>
            <w:r>
              <w:rPr>
                <w:color w:val="000000"/>
                <w:kern w:val="0"/>
                <w:szCs w:val="21"/>
                <w:u w:val="none"/>
              </w:rPr>
              <w:t>年缴纳的税金</w:t>
            </w:r>
          </w:p>
        </w:tc>
        <w:tc>
          <w:tcPr>
            <w:tcW w:w="736"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u w:val="none"/>
              </w:rPr>
            </w:pPr>
            <w:r>
              <w:rPr>
                <w:color w:val="000000"/>
                <w:kern w:val="0"/>
                <w:szCs w:val="21"/>
                <w:u w:val="none"/>
              </w:rPr>
              <w:t>10</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u w:val="none"/>
              </w:rPr>
            </w:pPr>
            <w:r>
              <w:rPr>
                <w:color w:val="000000"/>
                <w:kern w:val="0"/>
                <w:szCs w:val="21"/>
                <w:u w:val="none"/>
              </w:rPr>
              <w:t>银行信用等级</w:t>
            </w:r>
          </w:p>
        </w:tc>
        <w:tc>
          <w:tcPr>
            <w:tcW w:w="736"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11</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企业全部科技项目数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continue"/>
            <w:tcBorders>
              <w:left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67" w:firstLineChars="270"/>
              <w:rPr>
                <w:color w:val="000000"/>
                <w:kern w:val="0"/>
                <w:szCs w:val="21"/>
              </w:rPr>
            </w:pPr>
            <w:r>
              <w:rPr>
                <w:color w:val="000000"/>
                <w:kern w:val="0"/>
                <w:szCs w:val="21"/>
              </w:rPr>
              <w:t>其中：研发周期</w:t>
            </w:r>
            <w:r>
              <w:rPr>
                <w:rFonts w:hint="eastAsia"/>
                <w:color w:val="000000"/>
                <w:kern w:val="0"/>
                <w:szCs w:val="21"/>
              </w:rPr>
              <w:t>二</w:t>
            </w:r>
            <w:r>
              <w:rPr>
                <w:color w:val="000000"/>
                <w:kern w:val="0"/>
                <w:szCs w:val="21"/>
              </w:rPr>
              <w:t xml:space="preserve">年及以上的项目数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continue"/>
            <w:tcBorders>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67" w:firstLineChars="270"/>
              <w:rPr>
                <w:color w:val="000000"/>
                <w:kern w:val="0"/>
                <w:szCs w:val="21"/>
              </w:rPr>
            </w:pPr>
            <w:r>
              <w:rPr>
                <w:color w:val="000000"/>
                <w:kern w:val="0"/>
                <w:szCs w:val="21"/>
              </w:rPr>
              <w:t xml:space="preserve">其中：对外合作项目数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12</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新产品销售收入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13</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新产品销售利润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14</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企业技术开发仪器设备原值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15</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企业自有品牌产品与技术出口创汇额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万美元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16</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企业职工总数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17</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企业全体职工年收入总额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b/>
                <w:color w:val="000000"/>
                <w:kern w:val="0"/>
                <w:szCs w:val="21"/>
              </w:rPr>
            </w:pPr>
            <w:r>
              <w:rPr>
                <w:b/>
                <w:szCs w:val="21"/>
                <w:u w:val="none" w:color="000000"/>
              </w:rPr>
              <w:t>序号</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ind w:firstLine="156" w:firstLineChars="74"/>
              <w:jc w:val="center"/>
              <w:rPr>
                <w:b/>
                <w:color w:val="000000"/>
                <w:kern w:val="0"/>
                <w:szCs w:val="21"/>
              </w:rPr>
            </w:pPr>
            <w:r>
              <w:rPr>
                <w:b/>
                <w:szCs w:val="21"/>
                <w:u w:val="none" w:color="000000"/>
              </w:rPr>
              <w:t>定量数据名称</w:t>
            </w:r>
          </w:p>
        </w:tc>
        <w:tc>
          <w:tcPr>
            <w:tcW w:w="736"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b/>
                <w:color w:val="000000"/>
                <w:kern w:val="0"/>
                <w:szCs w:val="21"/>
              </w:rPr>
            </w:pPr>
            <w:r>
              <w:rPr>
                <w:b/>
                <w:szCs w:val="21"/>
                <w:u w:val="none" w:color="000000"/>
              </w:rPr>
              <w:t>单位</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b/>
                <w:szCs w:val="21"/>
                <w:u w:val="none" w:color="000000"/>
              </w:rPr>
            </w:pPr>
            <w:r>
              <w:rPr>
                <w:b/>
                <w:szCs w:val="21"/>
                <w:u w:val="none" w:color="000000"/>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18</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企业科技活动人员数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continue"/>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67" w:firstLineChars="270"/>
              <w:rPr>
                <w:color w:val="000000"/>
                <w:kern w:val="0"/>
                <w:szCs w:val="21"/>
              </w:rPr>
            </w:pPr>
            <w:r>
              <w:rPr>
                <w:color w:val="000000"/>
                <w:kern w:val="0"/>
                <w:szCs w:val="21"/>
              </w:rPr>
              <w:t xml:space="preserve">其中：企业研究与试验发展人员数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19</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企业技术中心职工人数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20</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企业技术中心人员培训费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21</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企业技术中心全体职工年收入总额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22</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企业技术中心高级专家人数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23</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 xml:space="preserve">企业技术中心博士人数 </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24</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来企业技术中心从事研发工作的外部专家人数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人月</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25</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企业技术中心在</w:t>
            </w:r>
            <w:r>
              <w:rPr>
                <w:rFonts w:hint="eastAsia"/>
                <w:color w:val="000000"/>
                <w:kern w:val="0"/>
                <w:szCs w:val="21"/>
              </w:rPr>
              <w:t>市</w:t>
            </w:r>
            <w:r>
              <w:rPr>
                <w:color w:val="000000"/>
                <w:kern w:val="0"/>
                <w:szCs w:val="21"/>
              </w:rPr>
              <w:t>外设立开发设计机构数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26</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企业技术中心与其他组织合办开发机构数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27</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通过国家和国际组织认证实验室数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szCs w:val="21"/>
                <w:u w:val="none" w:color="000000"/>
              </w:rPr>
              <w:t>28</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完成新产品新技术新工艺开发项目数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29</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企业拥有的全部有效发明专利数和版权登记数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30</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rPr>
            </w:pPr>
            <w:r>
              <w:rPr>
                <w:color w:val="000000"/>
                <w:kern w:val="0"/>
                <w:szCs w:val="21"/>
              </w:rPr>
              <w:t>当年被受理的专利申请数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vMerge w:val="continue"/>
            <w:tcBorders>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szCs w:val="21"/>
                <w:u w:val="none" w:color="000000"/>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69" w:firstLineChars="271"/>
              <w:rPr>
                <w:color w:val="000000"/>
                <w:kern w:val="0"/>
                <w:szCs w:val="21"/>
              </w:rPr>
            </w:pPr>
            <w:r>
              <w:rPr>
                <w:color w:val="000000"/>
                <w:kern w:val="0"/>
                <w:szCs w:val="21"/>
              </w:rPr>
              <w:t>其中：被受理的发明专利申请数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33" w:hRule="atLeast"/>
        </w:trPr>
        <w:tc>
          <w:tcPr>
            <w:tcW w:w="560" w:type="dxa"/>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szCs w:val="21"/>
                <w:u w:val="none" w:color="auto"/>
              </w:rPr>
            </w:pPr>
            <w:r>
              <w:rPr>
                <w:color w:val="000000"/>
                <w:kern w:val="0"/>
                <w:szCs w:val="21"/>
                <w:u w:val="none" w:color="auto"/>
              </w:rPr>
              <w:t>31</w:t>
            </w:r>
          </w:p>
        </w:tc>
        <w:tc>
          <w:tcPr>
            <w:tcW w:w="6726" w:type="dxa"/>
            <w:gridSpan w:val="3"/>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5" w:firstLineChars="74"/>
              <w:rPr>
                <w:color w:val="000000"/>
                <w:kern w:val="0"/>
                <w:szCs w:val="21"/>
                <w:u w:val="none" w:color="auto"/>
              </w:rPr>
            </w:pPr>
            <w:r>
              <w:rPr>
                <w:color w:val="000000"/>
                <w:kern w:val="0"/>
                <w:szCs w:val="21"/>
                <w:u w:val="none" w:color="auto"/>
              </w:rPr>
              <w:t>最近</w:t>
            </w:r>
            <w:r>
              <w:rPr>
                <w:rFonts w:hint="eastAsia"/>
                <w:color w:val="000000"/>
                <w:kern w:val="0"/>
                <w:szCs w:val="21"/>
                <w:u w:val="none" w:color="auto"/>
              </w:rPr>
              <w:t>二</w:t>
            </w:r>
            <w:r>
              <w:rPr>
                <w:color w:val="000000"/>
                <w:kern w:val="0"/>
                <w:szCs w:val="21"/>
                <w:u w:val="none" w:color="auto"/>
              </w:rPr>
              <w:t>年主持和参加制定的国际、国家、行业标准数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32</w:t>
            </w:r>
          </w:p>
        </w:tc>
        <w:tc>
          <w:tcPr>
            <w:tcW w:w="6726" w:type="dxa"/>
            <w:gridSpan w:val="3"/>
            <w:tcBorders>
              <w:top w:val="single" w:color="auto" w:sz="4" w:space="0"/>
              <w:left w:val="single" w:color="auto" w:sz="4" w:space="0"/>
              <w:bottom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151" w:firstLineChars="72"/>
              <w:rPr>
                <w:color w:val="000000"/>
                <w:kern w:val="0"/>
                <w:szCs w:val="21"/>
              </w:rPr>
            </w:pPr>
            <w:r>
              <w:rPr>
                <w:color w:val="000000"/>
                <w:kern w:val="0"/>
                <w:szCs w:val="21"/>
              </w:rPr>
              <w:t>企业获中国驰名商标数、</w:t>
            </w:r>
            <w:r>
              <w:rPr>
                <w:rFonts w:hint="eastAsia"/>
                <w:color w:val="000000"/>
                <w:kern w:val="0"/>
                <w:szCs w:val="21"/>
              </w:rPr>
              <w:t>省</w:t>
            </w:r>
            <w:r>
              <w:rPr>
                <w:color w:val="000000"/>
                <w:kern w:val="0"/>
                <w:szCs w:val="21"/>
              </w:rPr>
              <w:t>著名商标数</w:t>
            </w:r>
          </w:p>
        </w:tc>
        <w:tc>
          <w:tcPr>
            <w:tcW w:w="736" w:type="dxa"/>
            <w:tcBorders>
              <w:top w:val="single" w:color="auto" w:sz="4" w:space="0"/>
              <w:left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0" w:hRule="atLeast"/>
        </w:trPr>
        <w:tc>
          <w:tcPr>
            <w:tcW w:w="560" w:type="dxa"/>
            <w:vMerge w:val="continue"/>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6726" w:type="dxa"/>
            <w:gridSpan w:val="3"/>
            <w:tcBorders>
              <w:top w:val="single" w:color="auto" w:sz="4" w:space="0"/>
              <w:left w:val="single" w:color="auto" w:sz="4" w:space="0"/>
              <w:bottom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571" w:firstLineChars="272"/>
              <w:rPr>
                <w:color w:val="000000"/>
                <w:kern w:val="0"/>
                <w:szCs w:val="21"/>
              </w:rPr>
            </w:pPr>
            <w:r>
              <w:rPr>
                <w:color w:val="000000"/>
                <w:kern w:val="0"/>
                <w:szCs w:val="21"/>
              </w:rPr>
              <w:t>其中：获中国驰名商标数</w:t>
            </w:r>
          </w:p>
        </w:tc>
        <w:tc>
          <w:tcPr>
            <w:tcW w:w="736" w:type="dxa"/>
            <w:tcBorders>
              <w:left w:val="single" w:color="auto" w:sz="4" w:space="0"/>
              <w:bottom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t>33</w:t>
            </w:r>
          </w:p>
        </w:tc>
        <w:tc>
          <w:tcPr>
            <w:tcW w:w="6726" w:type="dxa"/>
            <w:gridSpan w:val="3"/>
            <w:tcBorders>
              <w:top w:val="single" w:color="auto" w:sz="4" w:space="0"/>
              <w:left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210" w:firstLineChars="100"/>
              <w:rPr>
                <w:color w:val="000000"/>
                <w:kern w:val="0"/>
                <w:szCs w:val="21"/>
              </w:rPr>
            </w:pPr>
            <w:r>
              <w:rPr>
                <w:color w:val="000000"/>
                <w:kern w:val="0"/>
                <w:szCs w:val="21"/>
              </w:rPr>
              <w:t>企业获中国名牌产品数、</w:t>
            </w:r>
            <w:r>
              <w:rPr>
                <w:rFonts w:hint="eastAsia"/>
                <w:color w:val="000000"/>
                <w:kern w:val="0"/>
                <w:szCs w:val="21"/>
              </w:rPr>
              <w:t>省</w:t>
            </w:r>
            <w:r>
              <w:rPr>
                <w:color w:val="000000"/>
                <w:kern w:val="0"/>
                <w:szCs w:val="21"/>
              </w:rPr>
              <w:t>名牌产品数</w:t>
            </w:r>
          </w:p>
        </w:tc>
        <w:tc>
          <w:tcPr>
            <w:tcW w:w="736" w:type="dxa"/>
            <w:tcBorders>
              <w:top w:val="single" w:color="auto" w:sz="4" w:space="0"/>
              <w:left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bottom w:val="single" w:color="auto" w:sz="4"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5" w:hRule="atLeast"/>
        </w:trPr>
        <w:tc>
          <w:tcPr>
            <w:tcW w:w="560" w:type="dxa"/>
            <w:vMerge w:val="continue"/>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6726" w:type="dxa"/>
            <w:gridSpan w:val="3"/>
            <w:tcBorders>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ind w:firstLine="210" w:firstLineChars="100"/>
              <w:rPr>
                <w:color w:val="000000"/>
                <w:kern w:val="0"/>
                <w:szCs w:val="21"/>
              </w:rPr>
            </w:pPr>
            <w:r>
              <w:rPr>
                <w:color w:val="000000"/>
                <w:kern w:val="0"/>
                <w:szCs w:val="21"/>
              </w:rPr>
              <w:t xml:space="preserve">   其中：获中国名牌产品数</w:t>
            </w:r>
          </w:p>
        </w:tc>
        <w:tc>
          <w:tcPr>
            <w:tcW w:w="736" w:type="dxa"/>
            <w:tcBorders>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个</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6" w:hRule="atLeast"/>
        </w:trPr>
        <w:tc>
          <w:tcPr>
            <w:tcW w:w="560" w:type="dxa"/>
            <w:vMerge w:val="restart"/>
            <w:tcBorders>
              <w:top w:val="single" w:color="auto" w:sz="4" w:space="0"/>
              <w:left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pPr>
            <w:r>
              <w:rPr>
                <w:color w:val="000000"/>
                <w:kern w:val="0"/>
                <w:szCs w:val="21"/>
              </w:rPr>
              <w:t>34</w:t>
            </w:r>
          </w:p>
        </w:tc>
        <w:tc>
          <w:tcPr>
            <w:tcW w:w="6726" w:type="dxa"/>
            <w:gridSpan w:val="3"/>
            <w:tcBorders>
              <w:top w:val="single" w:color="auto" w:sz="4" w:space="0"/>
              <w:left w:val="single" w:color="auto" w:sz="4" w:space="0"/>
              <w:right w:val="single" w:color="000000" w:sz="2" w:space="0"/>
            </w:tcBorders>
            <w:noWrap w:val="0"/>
            <w:vAlign w:val="top"/>
          </w:tcPr>
          <w:p>
            <w:pPr>
              <w:pageBreakBefore w:val="0"/>
              <w:widowControl w:val="0"/>
              <w:kinsoku/>
              <w:wordWrap/>
              <w:overflowPunct/>
              <w:topLinePunct w:val="0"/>
              <w:bidi w:val="0"/>
              <w:spacing w:line="360" w:lineRule="exact"/>
              <w:ind w:right="-334" w:rightChars="-159" w:firstLine="210" w:firstLineChars="100"/>
              <w:rPr>
                <w:color w:val="000000"/>
                <w:kern w:val="0"/>
                <w:szCs w:val="21"/>
              </w:rPr>
            </w:pPr>
            <w:r>
              <w:rPr>
                <w:color w:val="000000"/>
                <w:kern w:val="0"/>
                <w:szCs w:val="21"/>
              </w:rPr>
              <w:t>获国家</w:t>
            </w:r>
            <w:r>
              <w:rPr>
                <w:rFonts w:hint="eastAsia"/>
                <w:color w:val="000000"/>
                <w:kern w:val="0"/>
                <w:szCs w:val="21"/>
              </w:rPr>
              <w:t>、省</w:t>
            </w:r>
            <w:r>
              <w:rPr>
                <w:color w:val="000000"/>
                <w:kern w:val="0"/>
                <w:szCs w:val="21"/>
              </w:rPr>
              <w:t>和市自然科学、技术发明、科技进步奖项目数</w:t>
            </w:r>
          </w:p>
        </w:tc>
        <w:tc>
          <w:tcPr>
            <w:tcW w:w="736" w:type="dxa"/>
            <w:tcBorders>
              <w:top w:val="single" w:color="auto" w:sz="4" w:space="0"/>
              <w:left w:val="single" w:color="auto" w:sz="4"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 w:hRule="atLeast"/>
        </w:trPr>
        <w:tc>
          <w:tcPr>
            <w:tcW w:w="560" w:type="dxa"/>
            <w:vMerge w:val="continue"/>
            <w:tcBorders>
              <w:left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firstLine="105" w:firstLineChars="50"/>
              <w:jc w:val="center"/>
            </w:pPr>
          </w:p>
        </w:tc>
        <w:tc>
          <w:tcPr>
            <w:tcW w:w="6726" w:type="dxa"/>
            <w:gridSpan w:val="3"/>
            <w:tcBorders>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bidi w:val="0"/>
              <w:spacing w:line="360" w:lineRule="exact"/>
              <w:ind w:right="-334" w:rightChars="-159" w:firstLine="525" w:firstLineChars="250"/>
              <w:rPr>
                <w:szCs w:val="21"/>
              </w:rPr>
            </w:pPr>
            <w:r>
              <w:rPr>
                <w:color w:val="000000"/>
                <w:kern w:val="0"/>
                <w:szCs w:val="21"/>
              </w:rPr>
              <w:t>其中：获国家自然科学、技术发明、科技进步奖项目数</w:t>
            </w:r>
          </w:p>
        </w:tc>
        <w:tc>
          <w:tcPr>
            <w:tcW w:w="736" w:type="dxa"/>
            <w:tcBorders>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bidi w:val="0"/>
              <w:spacing w:line="360" w:lineRule="exact"/>
              <w:jc w:val="center"/>
            </w:pPr>
            <w:r>
              <w:rPr>
                <w:color w:val="000000"/>
                <w:kern w:val="0"/>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bidi w:val="0"/>
              <w:spacing w:line="3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trPr>
        <w:tc>
          <w:tcPr>
            <w:tcW w:w="560" w:type="dxa"/>
            <w:vMerge w:val="continue"/>
            <w:tcBorders>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right="-334" w:rightChars="-159" w:firstLine="571" w:firstLineChars="272"/>
              <w:rPr>
                <w:color w:val="000000"/>
                <w:kern w:val="0"/>
                <w:szCs w:val="21"/>
              </w:rPr>
            </w:pPr>
            <w:r>
              <w:rPr>
                <w:color w:val="000000"/>
                <w:kern w:val="0"/>
                <w:szCs w:val="21"/>
              </w:rPr>
              <w:t>其中：获</w:t>
            </w:r>
            <w:r>
              <w:rPr>
                <w:rFonts w:hint="eastAsia"/>
                <w:color w:val="000000"/>
                <w:kern w:val="0"/>
                <w:szCs w:val="21"/>
              </w:rPr>
              <w:t>省</w:t>
            </w:r>
            <w:r>
              <w:rPr>
                <w:color w:val="000000"/>
                <w:kern w:val="0"/>
                <w:szCs w:val="21"/>
              </w:rPr>
              <w:t>自然科学、技术发明、科技进步奖项目数</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rFonts w:hint="eastAsia"/>
                <w:szCs w:val="21"/>
              </w:rPr>
            </w:pPr>
            <w:r>
              <w:rPr>
                <w:rFonts w:hint="eastAsia"/>
                <w:szCs w:val="21"/>
              </w:rPr>
              <w:t>项</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trPr>
        <w:tc>
          <w:tcPr>
            <w:tcW w:w="560" w:type="dxa"/>
            <w:tcBorders>
              <w:top w:val="single" w:color="auto" w:sz="4" w:space="0"/>
              <w:left w:val="single" w:color="000000" w:sz="2" w:space="0"/>
              <w:bottom w:val="single" w:color="000000" w:sz="2" w:space="0"/>
              <w:right w:val="single" w:color="000000" w:sz="2" w:space="0"/>
            </w:tcBorders>
            <w:noWrap w:val="0"/>
            <w:vAlign w:val="center"/>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color w:val="000000"/>
                <w:kern w:val="0"/>
                <w:szCs w:val="21"/>
              </w:rPr>
              <w:t>35</w:t>
            </w:r>
          </w:p>
        </w:tc>
        <w:tc>
          <w:tcPr>
            <w:tcW w:w="6726" w:type="dxa"/>
            <w:gridSpan w:val="3"/>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right="-334" w:rightChars="-159" w:firstLine="155" w:firstLineChars="74"/>
              <w:rPr>
                <w:szCs w:val="21"/>
              </w:rPr>
            </w:pPr>
            <w:r>
              <w:rPr>
                <w:color w:val="000000"/>
                <w:kern w:val="0"/>
                <w:szCs w:val="21"/>
              </w:rPr>
              <w:t>万元工业增加值能耗</w:t>
            </w:r>
          </w:p>
        </w:tc>
        <w:tc>
          <w:tcPr>
            <w:tcW w:w="736" w:type="dxa"/>
            <w:tcBorders>
              <w:top w:val="single" w:color="auto" w:sz="4" w:space="0"/>
              <w:left w:val="single" w:color="auto" w:sz="4" w:space="0"/>
              <w:bottom w:val="single" w:color="000000" w:sz="2" w:space="0"/>
              <w:right w:val="single" w:color="000000" w:sz="2" w:space="0"/>
            </w:tcBorders>
            <w:noWrap w:val="0"/>
            <w:vAlign w:val="top"/>
          </w:tcPr>
          <w:p>
            <w:pPr>
              <w:pageBreakBefore w:val="0"/>
              <w:widowControl w:val="0"/>
              <w:kinsoku/>
              <w:wordWrap/>
              <w:overflowPunct/>
              <w:topLinePunct w:val="0"/>
              <w:autoSpaceDE w:val="0"/>
              <w:autoSpaceDN w:val="0"/>
              <w:bidi w:val="0"/>
              <w:adjustRightInd w:val="0"/>
              <w:spacing w:line="360" w:lineRule="exact"/>
              <w:jc w:val="center"/>
              <w:rPr>
                <w:color w:val="000000"/>
                <w:kern w:val="0"/>
                <w:szCs w:val="21"/>
              </w:rPr>
            </w:pPr>
            <w:r>
              <w:rPr>
                <w:szCs w:val="21"/>
              </w:rPr>
              <w:t>吨标煤/万元</w:t>
            </w:r>
          </w:p>
        </w:tc>
        <w:tc>
          <w:tcPr>
            <w:tcW w:w="1112" w:type="dxa"/>
            <w:tcBorders>
              <w:top w:val="single" w:color="auto" w:sz="4" w:space="0"/>
              <w:left w:val="single" w:color="auto" w:sz="4" w:space="0"/>
              <w:bottom w:val="single" w:color="000000" w:sz="2" w:space="0"/>
              <w:right w:val="single" w:color="000000" w:sz="2" w:space="0"/>
            </w:tcBorders>
            <w:noWrap w:val="0"/>
            <w:vAlign w:val="center"/>
          </w:tcPr>
          <w:p>
            <w:pPr>
              <w:pageBreakBefore w:val="0"/>
              <w:widowControl w:val="0"/>
              <w:kinsoku/>
              <w:wordWrap/>
              <w:overflowPunct/>
              <w:topLinePunct w:val="0"/>
              <w:bidi w:val="0"/>
              <w:spacing w:line="360" w:lineRule="exact"/>
              <w:ind w:left="38"/>
              <w:jc w:val="center"/>
              <w:rPr>
                <w:szCs w:val="21"/>
                <w:u w:val="none" w:color="000000"/>
              </w:rPr>
            </w:pPr>
          </w:p>
        </w:tc>
      </w:tr>
    </w:tbl>
    <w:p>
      <w:pPr>
        <w:pageBreakBefore w:val="0"/>
        <w:widowControl w:val="0"/>
        <w:kinsoku/>
        <w:wordWrap/>
        <w:overflowPunct/>
        <w:topLinePunct w:val="0"/>
        <w:bidi w:val="0"/>
        <w:spacing w:line="560" w:lineRule="exact"/>
      </w:pPr>
      <w:r>
        <w:t>注：当年指统计年度，T-1年指统计年度之前一年</w:t>
      </w:r>
    </w:p>
    <w:p>
      <w:pPr>
        <w:pageBreakBefore w:val="0"/>
        <w:widowControl w:val="0"/>
        <w:kinsoku/>
        <w:wordWrap/>
        <w:overflowPunct/>
        <w:topLinePunct w:val="0"/>
        <w:bidi w:val="0"/>
        <w:spacing w:line="400" w:lineRule="exact"/>
        <w:jc w:val="center"/>
        <w:rPr>
          <w:rFonts w:hint="eastAsia"/>
          <w:sz w:val="32"/>
          <w:szCs w:val="32"/>
        </w:rPr>
      </w:pPr>
    </w:p>
    <w:p>
      <w:pPr>
        <w:pageBreakBefore w:val="0"/>
        <w:widowControl w:val="0"/>
        <w:kinsoku/>
        <w:wordWrap/>
        <w:overflowPunct/>
        <w:topLinePunct w:val="0"/>
        <w:bidi w:val="0"/>
        <w:ind w:left="4219" w:leftChars="1552" w:hanging="960" w:hangingChars="300"/>
        <w:jc w:val="left"/>
        <w:rPr>
          <w:rFonts w:hint="eastAsia" w:ascii="仿宋_GB2312" w:eastAsia="仿宋_GB2312"/>
          <w:sz w:val="32"/>
          <w:szCs w:val="32"/>
        </w:rPr>
      </w:pPr>
      <w:r>
        <w:rPr>
          <w:rFonts w:hint="eastAsia" w:ascii="仿宋_GB2312" w:eastAsia="仿宋_GB2312"/>
          <w:sz w:val="32"/>
          <w:szCs w:val="32"/>
        </w:rPr>
        <w:t>企业负责人签字：                    企业盖章：</w:t>
      </w:r>
    </w:p>
    <w:p>
      <w:pPr>
        <w:pageBreakBefore w:val="0"/>
        <w:widowControl w:val="0"/>
        <w:kinsoku/>
        <w:wordWrap/>
        <w:overflowPunct/>
        <w:topLinePunct w:val="0"/>
        <w:bidi w:val="0"/>
        <w:ind w:left="5433" w:leftChars="2587"/>
        <w:jc w:val="left"/>
        <w:rPr>
          <w:rFonts w:hint="eastAsia" w:ascii="仿宋_GB2312" w:eastAsia="仿宋_GB2312"/>
          <w:sz w:val="32"/>
          <w:szCs w:val="32"/>
        </w:rPr>
      </w:pPr>
      <w:r>
        <w:rPr>
          <w:rFonts w:hint="eastAsia" w:ascii="仿宋_GB2312" w:eastAsia="仿宋_GB2312"/>
          <w:sz w:val="32"/>
          <w:szCs w:val="32"/>
        </w:rPr>
        <w:t>年　　月　　日</w:t>
      </w:r>
    </w:p>
    <w:p>
      <w:pPr>
        <w:pageBreakBefore w:val="0"/>
        <w:widowControl w:val="0"/>
        <w:kinsoku/>
        <w:wordWrap/>
        <w:overflowPunct/>
        <w:topLinePunct w:val="0"/>
        <w:bidi w:val="0"/>
        <w:ind w:firstLine="420" w:firstLineChars="200"/>
        <w:jc w:val="center"/>
        <w:rPr>
          <w:rFonts w:hint="eastAsia"/>
        </w:rPr>
      </w:pPr>
    </w:p>
    <w:p>
      <w:pPr>
        <w:pageBreakBefore w:val="0"/>
        <w:widowControl w:val="0"/>
        <w:kinsoku/>
        <w:wordWrap/>
        <w:overflowPunct/>
        <w:topLinePunct w:val="0"/>
        <w:bidi w:val="0"/>
        <w:spacing w:line="400" w:lineRule="exact"/>
        <w:jc w:val="center"/>
        <w:rPr>
          <w:rFonts w:hint="eastAsia"/>
        </w:rPr>
      </w:pPr>
    </w:p>
    <w:p>
      <w:pPr>
        <w:pageBreakBefore w:val="0"/>
        <w:widowControl w:val="0"/>
        <w:kinsoku/>
        <w:wordWrap/>
        <w:overflowPunct/>
        <w:topLinePunct w:val="0"/>
        <w:bidi w:val="0"/>
        <w:jc w:val="center"/>
        <w:rPr>
          <w:rFonts w:hint="eastAsia" w:ascii="方正小标宋简体" w:eastAsia="方正小标宋简体"/>
          <w:sz w:val="44"/>
          <w:szCs w:val="44"/>
        </w:rPr>
      </w:pPr>
      <w:r>
        <w:rPr>
          <w:rFonts w:hint="eastAsia" w:ascii="方正小标宋简体" w:eastAsia="方正小标宋简体"/>
          <w:sz w:val="44"/>
          <w:szCs w:val="44"/>
        </w:rPr>
        <w:t>部门审核意见</w:t>
      </w:r>
    </w:p>
    <w:p>
      <w:pPr>
        <w:pageBreakBefore w:val="0"/>
        <w:widowControl w:val="0"/>
        <w:kinsoku/>
        <w:wordWrap/>
        <w:overflowPunct/>
        <w:topLinePunct w:val="0"/>
        <w:bidi w:val="0"/>
        <w:spacing w:line="400" w:lineRule="exact"/>
        <w:jc w:val="center"/>
        <w:rPr>
          <w:rFonts w:hint="eastAsia"/>
        </w:rPr>
      </w:pPr>
    </w:p>
    <w:tbl>
      <w:tblPr>
        <w:tblStyle w:val="4"/>
        <w:tblW w:w="9378"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7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3" w:hRule="atLeast"/>
          <w:jc w:val="center"/>
        </w:trPr>
        <w:tc>
          <w:tcPr>
            <w:tcW w:w="2160" w:type="dxa"/>
            <w:noWrap w:val="0"/>
            <w:vAlign w:val="center"/>
          </w:tcPr>
          <w:p>
            <w:pPr>
              <w:pageBreakBefore w:val="0"/>
              <w:widowControl w:val="0"/>
              <w:kinsoku/>
              <w:wordWrap/>
              <w:overflowPunct/>
              <w:topLinePunct w:val="0"/>
              <w:bidi w:val="0"/>
              <w:spacing w:line="400" w:lineRule="exact"/>
              <w:jc w:val="center"/>
              <w:rPr>
                <w:rFonts w:hint="eastAsia" w:ascii="黑体" w:hAnsi="黑体" w:eastAsia="黑体"/>
                <w:sz w:val="32"/>
                <w:szCs w:val="32"/>
              </w:rPr>
            </w:pPr>
            <w:r>
              <w:rPr>
                <w:rFonts w:hint="eastAsia" w:ascii="黑体" w:hAnsi="黑体" w:eastAsia="黑体"/>
                <w:sz w:val="32"/>
                <w:szCs w:val="32"/>
              </w:rPr>
              <w:t>有关部门</w:t>
            </w:r>
          </w:p>
        </w:tc>
        <w:tc>
          <w:tcPr>
            <w:tcW w:w="7218" w:type="dxa"/>
            <w:noWrap w:val="0"/>
            <w:vAlign w:val="center"/>
          </w:tcPr>
          <w:p>
            <w:pPr>
              <w:pageBreakBefore w:val="0"/>
              <w:widowControl w:val="0"/>
              <w:kinsoku/>
              <w:wordWrap/>
              <w:overflowPunct/>
              <w:topLinePunct w:val="0"/>
              <w:bidi w:val="0"/>
              <w:spacing w:line="400" w:lineRule="exact"/>
              <w:jc w:val="center"/>
              <w:rPr>
                <w:rFonts w:hint="eastAsia" w:ascii="黑体" w:hAnsi="黑体" w:eastAsia="黑体"/>
                <w:sz w:val="32"/>
                <w:szCs w:val="32"/>
              </w:rPr>
            </w:pPr>
            <w:r>
              <w:rPr>
                <w:rFonts w:hint="eastAsia" w:ascii="黑体" w:hAnsi="黑体" w:eastAsia="黑体"/>
                <w:sz w:val="32"/>
                <w:szCs w:val="32"/>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2160"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r>
              <w:rPr>
                <w:rFonts w:hint="eastAsia" w:ascii="仿宋_GB2312" w:eastAsia="仿宋_GB2312"/>
                <w:sz w:val="32"/>
                <w:szCs w:val="32"/>
              </w:rPr>
              <w:t>县区</w:t>
            </w:r>
          </w:p>
          <w:p>
            <w:pPr>
              <w:pageBreakBefore w:val="0"/>
              <w:widowControl w:val="0"/>
              <w:kinsoku/>
              <w:wordWrap/>
              <w:overflowPunct/>
              <w:topLinePunct w:val="0"/>
              <w:bidi w:val="0"/>
              <w:spacing w:line="400" w:lineRule="exact"/>
              <w:jc w:val="center"/>
              <w:rPr>
                <w:rFonts w:hint="eastAsia" w:ascii="仿宋_GB2312" w:eastAsia="仿宋_GB2312"/>
                <w:sz w:val="32"/>
                <w:szCs w:val="32"/>
              </w:rPr>
            </w:pPr>
            <w:r>
              <w:rPr>
                <w:rFonts w:hint="eastAsia" w:ascii="仿宋_GB2312" w:eastAsia="仿宋_GB2312"/>
                <w:sz w:val="32"/>
                <w:szCs w:val="32"/>
                <w:lang w:eastAsia="zh-CN"/>
              </w:rPr>
              <w:t>工业</w:t>
            </w:r>
            <w:r>
              <w:rPr>
                <w:rFonts w:hint="eastAsia" w:ascii="仿宋_GB2312" w:eastAsia="仿宋_GB2312"/>
                <w:sz w:val="32"/>
                <w:szCs w:val="32"/>
              </w:rPr>
              <w:t>和信息化主管部门</w:t>
            </w:r>
          </w:p>
        </w:tc>
        <w:tc>
          <w:tcPr>
            <w:tcW w:w="7218"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p>
          <w:p>
            <w:pPr>
              <w:pageBreakBefore w:val="0"/>
              <w:widowControl w:val="0"/>
              <w:kinsoku/>
              <w:wordWrap/>
              <w:overflowPunct/>
              <w:topLinePunct w:val="0"/>
              <w:bidi w:val="0"/>
              <w:spacing w:line="400" w:lineRule="exact"/>
              <w:jc w:val="center"/>
              <w:rPr>
                <w:rFonts w:hint="eastAsia" w:ascii="仿宋_GB2312" w:eastAsia="仿宋_GB2312"/>
                <w:sz w:val="32"/>
                <w:szCs w:val="32"/>
              </w:rPr>
            </w:pPr>
          </w:p>
          <w:p>
            <w:pPr>
              <w:pageBreakBefore w:val="0"/>
              <w:widowControl w:val="0"/>
              <w:kinsoku/>
              <w:wordWrap/>
              <w:overflowPunct/>
              <w:topLinePunct w:val="0"/>
              <w:bidi w:val="0"/>
              <w:spacing w:line="400" w:lineRule="exact"/>
              <w:jc w:val="center"/>
              <w:rPr>
                <w:rFonts w:hint="eastAsia" w:ascii="仿宋_GB2312" w:eastAsia="仿宋_GB2312"/>
                <w:sz w:val="32"/>
                <w:szCs w:val="32"/>
              </w:rPr>
            </w:pPr>
          </w:p>
          <w:p>
            <w:pPr>
              <w:pageBreakBefore w:val="0"/>
              <w:widowControl w:val="0"/>
              <w:kinsoku/>
              <w:wordWrap/>
              <w:overflowPunct/>
              <w:topLinePunct w:val="0"/>
              <w:bidi w:val="0"/>
              <w:spacing w:line="4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2160"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r>
              <w:rPr>
                <w:rFonts w:hint="eastAsia" w:ascii="仿宋_GB2312" w:eastAsia="仿宋_GB2312"/>
                <w:sz w:val="32"/>
                <w:szCs w:val="32"/>
              </w:rPr>
              <w:t>县区</w:t>
            </w:r>
          </w:p>
          <w:p>
            <w:pPr>
              <w:pageBreakBefore w:val="0"/>
              <w:widowControl w:val="0"/>
              <w:kinsoku/>
              <w:wordWrap/>
              <w:overflowPunct/>
              <w:topLinePunct w:val="0"/>
              <w:bidi w:val="0"/>
              <w:spacing w:line="4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7218"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2160"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r>
              <w:rPr>
                <w:rFonts w:hint="eastAsia" w:ascii="仿宋_GB2312" w:eastAsia="仿宋_GB2312"/>
                <w:sz w:val="32"/>
                <w:szCs w:val="32"/>
              </w:rPr>
              <w:t>县区</w:t>
            </w:r>
            <w:r>
              <w:rPr>
                <w:rFonts w:hint="eastAsia" w:ascii="仿宋_GB2312" w:eastAsia="仿宋_GB2312"/>
                <w:sz w:val="32"/>
                <w:szCs w:val="32"/>
                <w:lang w:eastAsia="zh-CN"/>
              </w:rPr>
              <w:t>税务</w:t>
            </w:r>
            <w:r>
              <w:rPr>
                <w:rFonts w:hint="eastAsia" w:ascii="仿宋_GB2312" w:eastAsia="仿宋_GB2312"/>
                <w:sz w:val="32"/>
                <w:szCs w:val="32"/>
              </w:rPr>
              <w:t>局</w:t>
            </w:r>
          </w:p>
        </w:tc>
        <w:tc>
          <w:tcPr>
            <w:tcW w:w="7218" w:type="dxa"/>
            <w:noWrap w:val="0"/>
            <w:vAlign w:val="center"/>
          </w:tcPr>
          <w:p>
            <w:pPr>
              <w:pageBreakBefore w:val="0"/>
              <w:widowControl w:val="0"/>
              <w:kinsoku/>
              <w:wordWrap/>
              <w:overflowPunct/>
              <w:topLinePunct w:val="0"/>
              <w:bidi w:val="0"/>
              <w:spacing w:line="400" w:lineRule="exact"/>
              <w:jc w:val="center"/>
              <w:rPr>
                <w:rFonts w:hint="eastAsia" w:ascii="仿宋_GB2312" w:eastAsia="仿宋_GB2312"/>
                <w:sz w:val="32"/>
                <w:szCs w:val="32"/>
              </w:rPr>
            </w:pPr>
          </w:p>
        </w:tc>
      </w:tr>
    </w:tbl>
    <w:p>
      <w:pPr>
        <w:pStyle w:val="7"/>
        <w:pageBreakBefore w:val="0"/>
        <w:widowControl w:val="0"/>
        <w:tabs>
          <w:tab w:val="left" w:pos="900"/>
        </w:tabs>
        <w:kinsoku/>
        <w:wordWrap/>
        <w:overflowPunct/>
        <w:topLinePunct w:val="0"/>
        <w:bidi w:val="0"/>
        <w:spacing w:before="0" w:after="0" w:line="560" w:lineRule="exact"/>
        <w:ind w:firstLine="0"/>
        <w:jc w:val="center"/>
        <w:rPr>
          <w:rFonts w:ascii="Times New Roman" w:eastAsia="仿宋_GB2312"/>
          <w:color w:val="auto"/>
          <w:szCs w:val="24"/>
        </w:rPr>
        <w:sectPr>
          <w:headerReference r:id="rId4" w:type="first"/>
          <w:headerReference r:id="rId3" w:type="default"/>
          <w:footerReference r:id="rId5" w:type="default"/>
          <w:footerReference r:id="rId6" w:type="even"/>
          <w:pgSz w:w="11906" w:h="16838"/>
          <w:pgMar w:top="1440" w:right="1310" w:bottom="1440" w:left="1803" w:header="851" w:footer="992" w:gutter="0"/>
          <w:pgNumType w:start="1"/>
          <w:cols w:space="720" w:num="1"/>
          <w:titlePg/>
          <w:rtlGutter w:val="0"/>
          <w:docGrid w:type="lines" w:linePitch="312" w:charSpace="0"/>
        </w:sectPr>
      </w:pPr>
    </w:p>
    <w:p>
      <w:pPr>
        <w:pageBreakBefore w:val="0"/>
        <w:widowControl w:val="0"/>
        <w:tabs>
          <w:tab w:val="left" w:pos="900"/>
          <w:tab w:val="left" w:pos="1080"/>
        </w:tabs>
        <w:kinsoku/>
        <w:wordWrap/>
        <w:overflowPunct/>
        <w:topLinePunct w:val="0"/>
        <w:bidi w:val="0"/>
        <w:ind w:firstLine="640" w:firstLineChars="200"/>
        <w:rPr>
          <w:rFonts w:hint="eastAsia" w:ascii="黑体" w:hAnsi="宋体" w:eastAsia="黑体"/>
          <w:sz w:val="32"/>
          <w:szCs w:val="32"/>
        </w:rPr>
      </w:pPr>
      <w:r>
        <w:rPr>
          <w:rFonts w:hint="eastAsia" w:ascii="黑体" w:hAnsi="宋体" w:eastAsia="黑体"/>
          <w:sz w:val="32"/>
          <w:szCs w:val="32"/>
          <w:lang w:eastAsia="zh-CN"/>
        </w:rPr>
        <w:t>二</w:t>
      </w:r>
      <w:r>
        <w:rPr>
          <w:rFonts w:hint="eastAsia" w:ascii="黑体" w:hAnsi="宋体" w:eastAsia="黑体"/>
          <w:sz w:val="32"/>
          <w:szCs w:val="32"/>
        </w:rPr>
        <w:t xml:space="preserve">、指标解释和填报说明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1、</w:t>
      </w:r>
      <w:r>
        <w:rPr>
          <w:rFonts w:ascii="Times New Roman" w:cs="Times New Roman"/>
          <w:b/>
          <w:color w:val="auto"/>
          <w:sz w:val="32"/>
          <w:szCs w:val="32"/>
        </w:rPr>
        <w:t>报告年度：</w:t>
      </w:r>
      <w:r>
        <w:rPr>
          <w:rFonts w:ascii="Times New Roman" w:cs="Times New Roman"/>
          <w:color w:val="auto"/>
          <w:sz w:val="32"/>
          <w:szCs w:val="32"/>
        </w:rPr>
        <w:t>指评价表中指标统计年度，时间范围从填写评价表的上一年1月1日到12月31日。所有指标的填报时间范围，如无特殊指明，均为报告年度。(T-1)年指报告年度的前一年。</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2</w:t>
      </w:r>
      <w:r>
        <w:rPr>
          <w:rFonts w:ascii="Times New Roman" w:cs="Times New Roman"/>
          <w:b/>
          <w:color w:val="auto"/>
          <w:sz w:val="32"/>
          <w:szCs w:val="32"/>
        </w:rPr>
        <w:t>、企业营业收入总额：</w:t>
      </w:r>
      <w:r>
        <w:rPr>
          <w:rFonts w:ascii="Times New Roman" w:cs="Times New Roman"/>
          <w:color w:val="auto"/>
          <w:sz w:val="32"/>
          <w:szCs w:val="32"/>
        </w:rPr>
        <w:t>指技术中心所在企业总部和其下属分公司、子公司、控股企业（按实际控投权）等应该列入会计合并报表范围的所有企业的营业收入（销售收入），经按合并报表原则处理后的合并营业收入。包括工业性企业产品销售收入、房地产与旅游酒店服务等第三产业的营业收入。</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3</w:t>
      </w:r>
      <w:r>
        <w:rPr>
          <w:rFonts w:ascii="Times New Roman" w:cs="Times New Roman"/>
          <w:b/>
          <w:color w:val="auto"/>
          <w:sz w:val="32"/>
          <w:szCs w:val="32"/>
        </w:rPr>
        <w:t>、企业利润总额：</w:t>
      </w:r>
      <w:r>
        <w:rPr>
          <w:rFonts w:ascii="Times New Roman" w:cs="Times New Roman"/>
          <w:color w:val="auto"/>
          <w:sz w:val="32"/>
          <w:szCs w:val="32"/>
        </w:rPr>
        <w:t>指企业生产经营过程中各种收入扣除各种消耗后的盈余。反映企业在报告期内实现的盈亏总额（亏损以“-”号表示）。包括企业的营业利润补贴收入，各种投资净收益和营业外收支净额。</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4</w:t>
      </w:r>
      <w:r>
        <w:rPr>
          <w:rFonts w:ascii="Times New Roman" w:cs="Times New Roman"/>
          <w:b/>
          <w:color w:val="auto"/>
          <w:sz w:val="32"/>
          <w:szCs w:val="32"/>
        </w:rPr>
        <w:t>、企业产品销售收入总额：</w:t>
      </w:r>
      <w:r>
        <w:rPr>
          <w:rFonts w:ascii="Times New Roman" w:cs="Times New Roman"/>
          <w:color w:val="auto"/>
          <w:sz w:val="32"/>
          <w:szCs w:val="32"/>
        </w:rPr>
        <w:t>指企业销售产成品、试制半成品的收入和提供工业性劳务收入总额。</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5</w:t>
      </w:r>
      <w:r>
        <w:rPr>
          <w:rFonts w:ascii="Times New Roman" w:cs="Times New Roman"/>
          <w:b/>
          <w:color w:val="auto"/>
          <w:sz w:val="32"/>
          <w:szCs w:val="32"/>
        </w:rPr>
        <w:t>、企业产品销售利润总额：</w:t>
      </w:r>
      <w:r>
        <w:rPr>
          <w:rFonts w:ascii="Times New Roman" w:cs="Times New Roman"/>
          <w:color w:val="auto"/>
          <w:sz w:val="32"/>
          <w:szCs w:val="32"/>
        </w:rPr>
        <w:t>指企业销售收入扣除成本、费用、税金后的余额。</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6</w:t>
      </w:r>
      <w:r>
        <w:rPr>
          <w:rFonts w:ascii="Times New Roman" w:cs="Times New Roman"/>
          <w:b/>
          <w:color w:val="auto"/>
          <w:sz w:val="32"/>
          <w:szCs w:val="32"/>
        </w:rPr>
        <w:t>、企业科技活动经费支出额：</w:t>
      </w:r>
      <w:r>
        <w:rPr>
          <w:rFonts w:ascii="Times New Roman" w:cs="Times New Roman"/>
          <w:color w:val="auto"/>
          <w:sz w:val="32"/>
          <w:szCs w:val="32"/>
        </w:rPr>
        <w:t xml:space="preserve">指企业实际支出的全部科技活动费用，包括列入技术开发的经费支出以及技创技改等资金实际用于科技活动的支出。不包括生产性支出和归还贷款支出。科技活动经费支出总额分为内部支出和外部支出。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科技活动经费内部支出：</w:t>
      </w:r>
      <w:r>
        <w:rPr>
          <w:rFonts w:ascii="Times New Roman" w:cs="Times New Roman"/>
          <w:color w:val="auto"/>
          <w:sz w:val="32"/>
          <w:szCs w:val="32"/>
        </w:rPr>
        <w:t xml:space="preserve">指企业用于内部开展科技活动实际支出的费用，包括外协加工费。不包括委托研制或合作研制而支付外单位的经费。科技经费内部支出按用途分为科技活动人员劳务费、原材料费、购买自制设备支出、其他支出。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科技活动经费外部支出：</w:t>
      </w:r>
      <w:r>
        <w:rPr>
          <w:rFonts w:ascii="Times New Roman" w:cs="Times New Roman"/>
          <w:color w:val="auto"/>
          <w:sz w:val="32"/>
          <w:szCs w:val="32"/>
        </w:rPr>
        <w:t>指企业委托其他单位或与其他单位合作开展科技活动而支付给其他单位的经费，不包括外协加工费。</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7</w:t>
      </w:r>
      <w:r>
        <w:rPr>
          <w:rFonts w:ascii="Times New Roman" w:cs="Times New Roman"/>
          <w:b/>
          <w:color w:val="auto"/>
          <w:sz w:val="32"/>
          <w:szCs w:val="32"/>
        </w:rPr>
        <w:t>、企业研究与试验发展经费支出额：</w:t>
      </w:r>
      <w:r>
        <w:rPr>
          <w:rFonts w:ascii="Times New Roman" w:cs="Times New Roman"/>
          <w:color w:val="auto"/>
          <w:sz w:val="32"/>
          <w:szCs w:val="32"/>
        </w:rPr>
        <w:t>指在企业科技活动经费内部支出中用于基础研究、应用研究和试验发展三类项目以及这三类项目的管理和服务费用的支出。</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8</w:t>
      </w:r>
      <w:r>
        <w:rPr>
          <w:rFonts w:ascii="Times New Roman" w:cs="Times New Roman"/>
          <w:b/>
          <w:color w:val="auto"/>
          <w:sz w:val="32"/>
          <w:szCs w:val="32"/>
        </w:rPr>
        <w:t>、资产负债率：</w:t>
      </w:r>
      <w:r>
        <w:rPr>
          <w:rFonts w:ascii="Times New Roman" w:cs="Times New Roman"/>
          <w:color w:val="auto"/>
          <w:sz w:val="32"/>
          <w:szCs w:val="32"/>
        </w:rPr>
        <w:t>指负债总额除以资产总额的百分比，也就是负债总额与资产总额的比例关系。参考公式：资产负</w:t>
      </w:r>
      <w:r>
        <w:rPr>
          <w:rFonts w:hint="eastAsia" w:ascii="Times New Roman" w:cs="Times New Roman"/>
          <w:color w:val="auto"/>
          <w:sz w:val="32"/>
          <w:szCs w:val="32"/>
          <w:lang w:eastAsia="zh-CN"/>
        </w:rPr>
        <w:t>债</w:t>
      </w:r>
      <w:r>
        <w:rPr>
          <w:rFonts w:ascii="Times New Roman" w:cs="Times New Roman"/>
          <w:color w:val="auto"/>
          <w:sz w:val="32"/>
          <w:szCs w:val="32"/>
        </w:rPr>
        <w:t>率=（</w:t>
      </w:r>
      <w:r>
        <w:rPr>
          <w:rFonts w:ascii="Times New Roman" w:cs="Times New Roman"/>
          <w:color w:val="auto"/>
          <w:sz w:val="32"/>
          <w:szCs w:val="32"/>
        </w:rPr>
        <w:fldChar w:fldCharType="begin"/>
      </w:r>
      <w:r>
        <w:rPr>
          <w:rFonts w:ascii="Times New Roman" w:cs="Times New Roman"/>
          <w:color w:val="auto"/>
          <w:sz w:val="32"/>
          <w:szCs w:val="32"/>
        </w:rPr>
        <w:instrText xml:space="preserve"> HYPERLINK "http://baike.baidu.com/view/42570.htm" \t "_blank" </w:instrText>
      </w:r>
      <w:r>
        <w:rPr>
          <w:rFonts w:ascii="Times New Roman" w:cs="Times New Roman"/>
          <w:color w:val="auto"/>
          <w:sz w:val="32"/>
          <w:szCs w:val="32"/>
        </w:rPr>
        <w:fldChar w:fldCharType="separate"/>
      </w:r>
      <w:r>
        <w:rPr>
          <w:rFonts w:ascii="Times New Roman" w:cs="Times New Roman"/>
          <w:color w:val="auto"/>
          <w:sz w:val="32"/>
          <w:szCs w:val="32"/>
        </w:rPr>
        <w:t>负债</w:t>
      </w:r>
      <w:r>
        <w:rPr>
          <w:rFonts w:ascii="Times New Roman" w:cs="Times New Roman"/>
          <w:color w:val="auto"/>
          <w:sz w:val="32"/>
          <w:szCs w:val="32"/>
        </w:rPr>
        <w:fldChar w:fldCharType="end"/>
      </w:r>
      <w:r>
        <w:rPr>
          <w:rFonts w:ascii="Times New Roman" w:cs="Times New Roman"/>
          <w:color w:val="auto"/>
          <w:sz w:val="32"/>
          <w:szCs w:val="32"/>
        </w:rPr>
        <w:t>总额/</w:t>
      </w:r>
      <w:r>
        <w:rPr>
          <w:rFonts w:ascii="Times New Roman" w:cs="Times New Roman"/>
          <w:color w:val="auto"/>
          <w:sz w:val="32"/>
          <w:szCs w:val="32"/>
        </w:rPr>
        <w:fldChar w:fldCharType="begin"/>
      </w:r>
      <w:r>
        <w:rPr>
          <w:rFonts w:ascii="Times New Roman" w:cs="Times New Roman"/>
          <w:color w:val="auto"/>
          <w:sz w:val="32"/>
          <w:szCs w:val="32"/>
        </w:rPr>
        <w:instrText xml:space="preserve"> HYPERLINK "http://baike.baidu.com/view/42564.htm" \t "_blank" </w:instrText>
      </w:r>
      <w:r>
        <w:rPr>
          <w:rFonts w:ascii="Times New Roman" w:cs="Times New Roman"/>
          <w:color w:val="auto"/>
          <w:sz w:val="32"/>
          <w:szCs w:val="32"/>
        </w:rPr>
        <w:fldChar w:fldCharType="separate"/>
      </w:r>
      <w:r>
        <w:rPr>
          <w:rFonts w:ascii="Times New Roman" w:cs="Times New Roman"/>
          <w:color w:val="auto"/>
          <w:sz w:val="32"/>
          <w:szCs w:val="32"/>
        </w:rPr>
        <w:t>资产</w:t>
      </w:r>
      <w:r>
        <w:rPr>
          <w:rFonts w:ascii="Times New Roman" w:cs="Times New Roman"/>
          <w:color w:val="auto"/>
          <w:sz w:val="32"/>
          <w:szCs w:val="32"/>
        </w:rPr>
        <w:fldChar w:fldCharType="end"/>
      </w:r>
      <w:r>
        <w:rPr>
          <w:rFonts w:ascii="Times New Roman" w:cs="Times New Roman"/>
          <w:color w:val="auto"/>
          <w:sz w:val="32"/>
          <w:szCs w:val="32"/>
        </w:rPr>
        <w:t>总额）*100％</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hint="eastAsia" w:ascii="Times New Roman" w:cs="Times New Roman"/>
          <w:b/>
          <w:color w:val="auto"/>
          <w:sz w:val="32"/>
          <w:szCs w:val="32"/>
          <w:lang w:val="en-US" w:eastAsia="zh-CN"/>
        </w:rPr>
        <w:t>9</w:t>
      </w:r>
      <w:r>
        <w:rPr>
          <w:rFonts w:ascii="Times New Roman" w:cs="Times New Roman"/>
          <w:b/>
          <w:color w:val="auto"/>
          <w:sz w:val="32"/>
          <w:szCs w:val="32"/>
        </w:rPr>
        <w:t>、年缴纳的税金：</w:t>
      </w:r>
      <w:r>
        <w:rPr>
          <w:rFonts w:ascii="Times New Roman" w:cs="Times New Roman"/>
          <w:color w:val="auto"/>
          <w:sz w:val="32"/>
          <w:szCs w:val="32"/>
        </w:rPr>
        <w:t>主要指企业缴纳的各项税收之和。主要包括所得税、流转税、资源税、行为税等。</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10</w:t>
      </w:r>
      <w:r>
        <w:rPr>
          <w:rFonts w:ascii="Times New Roman" w:cs="Times New Roman"/>
          <w:b/>
          <w:color w:val="auto"/>
          <w:sz w:val="32"/>
          <w:szCs w:val="32"/>
        </w:rPr>
        <w:t>、银行信用等级：</w:t>
      </w:r>
      <w:r>
        <w:rPr>
          <w:rFonts w:ascii="Times New Roman" w:cs="Times New Roman"/>
          <w:color w:val="auto"/>
          <w:sz w:val="32"/>
          <w:szCs w:val="32"/>
        </w:rPr>
        <w:t>衡量企业的偿债能力、获利能力、经营管理、履约情况、发展能力与潜力。信用等级分为AAA级、AA级、A级、BBB级、BB级、B级、CCC级、CC级、C级和D级，共十个信用等级。</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1</w:t>
      </w:r>
      <w:r>
        <w:rPr>
          <w:rFonts w:ascii="Times New Roman" w:cs="Times New Roman"/>
          <w:b/>
          <w:color w:val="auto"/>
          <w:sz w:val="32"/>
          <w:szCs w:val="32"/>
        </w:rPr>
        <w:t>、企业全部科技项目数：</w:t>
      </w:r>
      <w:r>
        <w:rPr>
          <w:rFonts w:ascii="Times New Roman" w:cs="Times New Roman"/>
          <w:color w:val="auto"/>
          <w:sz w:val="32"/>
          <w:szCs w:val="32"/>
        </w:rPr>
        <w:t>指企业立项并开展研发（制）工作、以前年份立项（当年）仍继续进行研发（制）的科技项目，包括当年完成、年内仍在进行、年内研发工作已告失败的项目，不包括委托外单位进行研发的项目。从开发项目的性质看，包括新产品开发项目数、新技术开发项目数、新工艺开发项目数、新服务开发项目数与基础研究项目数之和。</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2</w:t>
      </w:r>
      <w:r>
        <w:rPr>
          <w:rFonts w:ascii="Times New Roman" w:cs="Times New Roman"/>
          <w:b/>
          <w:color w:val="auto"/>
          <w:sz w:val="32"/>
          <w:szCs w:val="32"/>
        </w:rPr>
        <w:t>、研发周期</w:t>
      </w:r>
      <w:r>
        <w:rPr>
          <w:rFonts w:hint="eastAsia" w:ascii="Times New Roman" w:cs="Times New Roman"/>
          <w:b/>
          <w:color w:val="auto"/>
          <w:sz w:val="32"/>
          <w:szCs w:val="32"/>
          <w:lang w:eastAsia="zh-CN"/>
        </w:rPr>
        <w:t>二年</w:t>
      </w:r>
      <w:r>
        <w:rPr>
          <w:rFonts w:ascii="Times New Roman" w:cs="Times New Roman"/>
          <w:b/>
          <w:color w:val="auto"/>
          <w:sz w:val="32"/>
          <w:szCs w:val="32"/>
        </w:rPr>
        <w:t>及以上的项目数：</w:t>
      </w:r>
      <w:r>
        <w:rPr>
          <w:rFonts w:ascii="Times New Roman" w:cs="Times New Roman"/>
          <w:color w:val="auto"/>
          <w:sz w:val="32"/>
          <w:szCs w:val="32"/>
        </w:rPr>
        <w:t>指研究开发周期在</w:t>
      </w:r>
      <w:r>
        <w:rPr>
          <w:rFonts w:hint="eastAsia" w:ascii="Times New Roman" w:cs="Times New Roman"/>
          <w:color w:val="auto"/>
          <w:sz w:val="32"/>
          <w:szCs w:val="32"/>
          <w:lang w:eastAsia="zh-CN"/>
        </w:rPr>
        <w:t>二</w:t>
      </w:r>
      <w:r>
        <w:rPr>
          <w:rFonts w:ascii="Times New Roman" w:cs="Times New Roman"/>
          <w:color w:val="auto"/>
          <w:sz w:val="32"/>
          <w:szCs w:val="32"/>
        </w:rPr>
        <w:t>年以上（含</w:t>
      </w:r>
      <w:r>
        <w:rPr>
          <w:rFonts w:hint="eastAsia" w:ascii="Times New Roman" w:cs="Times New Roman"/>
          <w:color w:val="auto"/>
          <w:sz w:val="32"/>
          <w:szCs w:val="32"/>
          <w:lang w:eastAsia="zh-CN"/>
        </w:rPr>
        <w:t>二</w:t>
      </w:r>
      <w:r>
        <w:rPr>
          <w:rFonts w:ascii="Times New Roman" w:cs="Times New Roman"/>
          <w:color w:val="auto"/>
          <w:sz w:val="32"/>
          <w:szCs w:val="32"/>
        </w:rPr>
        <w:t xml:space="preserve">年）的技术开发项目数。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3</w:t>
      </w:r>
      <w:r>
        <w:rPr>
          <w:rFonts w:ascii="Times New Roman" w:cs="Times New Roman"/>
          <w:b/>
          <w:color w:val="auto"/>
          <w:sz w:val="32"/>
          <w:szCs w:val="32"/>
        </w:rPr>
        <w:t>、对外合作项目数：</w:t>
      </w:r>
      <w:r>
        <w:rPr>
          <w:rFonts w:ascii="Times New Roman" w:cs="Times New Roman"/>
          <w:color w:val="auto"/>
          <w:sz w:val="32"/>
          <w:szCs w:val="32"/>
        </w:rPr>
        <w:t>指企业与高等学校、科研院所及其他企业联合开展的科技项目数。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4</w:t>
      </w:r>
      <w:r>
        <w:rPr>
          <w:rFonts w:ascii="Times New Roman" w:cs="Times New Roman"/>
          <w:b/>
          <w:color w:val="auto"/>
          <w:sz w:val="32"/>
          <w:szCs w:val="32"/>
        </w:rPr>
        <w:t>、新产品销售收入：</w:t>
      </w:r>
      <w:r>
        <w:rPr>
          <w:rFonts w:ascii="Times New Roman" w:cs="Times New Roman"/>
          <w:color w:val="auto"/>
          <w:sz w:val="32"/>
          <w:szCs w:val="32"/>
        </w:rPr>
        <w:t xml:space="preserve">新产品销售收入指报告期本企业销售新产品实现的销售收入。新产品销售收入是产品销售收入的组成部分，计算口径与产品销售收入一致。新产品即包括经政府有关部门认定并在有效期内的新产品，也包括企业自行研制开发，未经政府有关部门认定，从投产之日起一年之内的新产品。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新产品：</w:t>
      </w:r>
      <w:r>
        <w:rPr>
          <w:rFonts w:ascii="Times New Roman" w:cs="Times New Roman"/>
          <w:color w:val="auto"/>
          <w:sz w:val="32"/>
          <w:szCs w:val="32"/>
        </w:rPr>
        <w:t xml:space="preserve">指采用新技术原理、新设计构思研制、生产的全新产品，或在结构、材质、工艺等某一方面比原有产品有明显改进，从而显著提高了产品性能或扩大了使用功能的产品。新产品包括全新型新产品和重大改进型新产品二大类。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全新型新产品：</w:t>
      </w:r>
      <w:r>
        <w:rPr>
          <w:rFonts w:ascii="Times New Roman" w:cs="Times New Roman"/>
          <w:color w:val="auto"/>
          <w:sz w:val="32"/>
          <w:szCs w:val="32"/>
        </w:rPr>
        <w:t xml:space="preserve">指与以前制造的产品相比，其用途或者技术设计和材料三者都有显著变化的产品。这些创新可以涉及到全新的技术，也可以基于组合现有技术新的应用，或者源于新的知识的应用。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重大改进型新产品：</w:t>
      </w:r>
      <w:r>
        <w:rPr>
          <w:rFonts w:ascii="Times New Roman" w:cs="Times New Roman"/>
          <w:color w:val="auto"/>
          <w:sz w:val="32"/>
          <w:szCs w:val="32"/>
        </w:rPr>
        <w:t>指在原有产品的基础上，产品性能得到显著提高或者重大改进的产品。若产品的改变仅仅是在美学上（外观、颜色、图案设计、包装等）的改变及技术上的较小的变化，属于产品差异，不作为新产品统计。</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5</w:t>
      </w:r>
      <w:r>
        <w:rPr>
          <w:rFonts w:ascii="Times New Roman" w:cs="Times New Roman"/>
          <w:b/>
          <w:color w:val="auto"/>
          <w:sz w:val="32"/>
          <w:szCs w:val="32"/>
        </w:rPr>
        <w:t>、新产品销售利润：</w:t>
      </w:r>
      <w:r>
        <w:rPr>
          <w:rFonts w:ascii="Times New Roman" w:cs="Times New Roman"/>
          <w:color w:val="auto"/>
          <w:sz w:val="32"/>
          <w:szCs w:val="32"/>
        </w:rPr>
        <w:t>指企业销售新产品所实现的利润。</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6</w:t>
      </w:r>
      <w:r>
        <w:rPr>
          <w:rFonts w:ascii="Times New Roman" w:cs="Times New Roman"/>
          <w:b/>
          <w:color w:val="auto"/>
          <w:sz w:val="32"/>
          <w:szCs w:val="32"/>
        </w:rPr>
        <w:t>、企业技术开发仪器设备原值：</w:t>
      </w:r>
      <w:r>
        <w:rPr>
          <w:rFonts w:ascii="Times New Roman" w:cs="Times New Roman"/>
          <w:color w:val="auto"/>
          <w:sz w:val="32"/>
          <w:szCs w:val="32"/>
        </w:rPr>
        <w:t xml:space="preserve"> 指年末整个企业用于科研、技术开发的仪器、科研设备、中间试验设备的原值（帐面原值）。技术开发仪器设备包括技术开发仪器、技术开发设备、技术开发检测设备、中间试验设备等。</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7</w:t>
      </w:r>
      <w:r>
        <w:rPr>
          <w:rFonts w:ascii="Times New Roman" w:cs="Times New Roman"/>
          <w:b/>
          <w:color w:val="auto"/>
          <w:sz w:val="32"/>
          <w:szCs w:val="32"/>
        </w:rPr>
        <w:t>、企业自有品牌产品与技术出口创汇额：</w:t>
      </w:r>
      <w:r>
        <w:rPr>
          <w:rFonts w:ascii="Times New Roman" w:cs="Times New Roman"/>
          <w:color w:val="auto"/>
          <w:sz w:val="32"/>
          <w:szCs w:val="32"/>
        </w:rPr>
        <w:t>指企业出口自己生产的自有品牌的产品和向国外出口技术所收入的外汇。</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8</w:t>
      </w:r>
      <w:r>
        <w:rPr>
          <w:rFonts w:ascii="Times New Roman" w:cs="Times New Roman"/>
          <w:b/>
          <w:color w:val="auto"/>
          <w:sz w:val="32"/>
          <w:szCs w:val="32"/>
        </w:rPr>
        <w:t>、企业职工总数：</w:t>
      </w:r>
      <w:r>
        <w:rPr>
          <w:rFonts w:ascii="Times New Roman" w:cs="Times New Roman"/>
          <w:color w:val="auto"/>
          <w:sz w:val="32"/>
          <w:szCs w:val="32"/>
        </w:rPr>
        <w:t>指企业在册职工人数。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1</w:t>
      </w:r>
      <w:r>
        <w:rPr>
          <w:rFonts w:hint="eastAsia" w:ascii="Times New Roman" w:cs="Times New Roman"/>
          <w:b/>
          <w:color w:val="auto"/>
          <w:sz w:val="32"/>
          <w:szCs w:val="32"/>
          <w:lang w:val="en-US" w:eastAsia="zh-CN"/>
        </w:rPr>
        <w:t>9</w:t>
      </w:r>
      <w:r>
        <w:rPr>
          <w:rFonts w:ascii="Times New Roman" w:cs="Times New Roman"/>
          <w:b/>
          <w:color w:val="auto"/>
          <w:sz w:val="32"/>
          <w:szCs w:val="32"/>
        </w:rPr>
        <w:t>、企业全体职工年收入总额：</w:t>
      </w:r>
      <w:r>
        <w:rPr>
          <w:rFonts w:ascii="Times New Roman" w:cs="Times New Roman"/>
          <w:color w:val="auto"/>
          <w:sz w:val="32"/>
          <w:szCs w:val="32"/>
        </w:rPr>
        <w:t>指企业在册全部职工一年的货币收入的总额。包括职工工资、福利费、奖金、政策补贴、项目提成等各项货币收入的总和。</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hint="eastAsia" w:ascii="Times New Roman" w:cs="Times New Roman"/>
          <w:b/>
          <w:color w:val="auto"/>
          <w:sz w:val="32"/>
          <w:szCs w:val="32"/>
          <w:lang w:val="en-US" w:eastAsia="zh-CN"/>
        </w:rPr>
        <w:t>20</w:t>
      </w:r>
      <w:r>
        <w:rPr>
          <w:rFonts w:ascii="Times New Roman" w:cs="Times New Roman"/>
          <w:b/>
          <w:color w:val="auto"/>
          <w:sz w:val="32"/>
          <w:szCs w:val="32"/>
        </w:rPr>
        <w:t>、企业科技活动人员数：</w:t>
      </w:r>
      <w:r>
        <w:rPr>
          <w:rFonts w:ascii="Times New Roman" w:cs="Times New Roman"/>
          <w:color w:val="auto"/>
          <w:sz w:val="32"/>
          <w:szCs w:val="32"/>
        </w:rPr>
        <w:t xml:space="preserve">指企业直接从事（或参与）科技活动、以及专门从事科技活动管理和为科技活动提供直接服务的人员。累计从事科技活动的时间占制度工作时间10％（不含）以下的人员不统计。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bookmarkStart w:id="0" w:name="_GoBack"/>
      <w:bookmarkEnd w:id="0"/>
      <w:r>
        <w:rPr>
          <w:rFonts w:ascii="Times New Roman" w:cs="Times New Roman"/>
          <w:b/>
          <w:color w:val="auto"/>
          <w:sz w:val="32"/>
          <w:szCs w:val="32"/>
        </w:rPr>
        <w:t>（1）直接从事（或参与）科技活动</w:t>
      </w:r>
      <w:r>
        <w:rPr>
          <w:rFonts w:ascii="Times New Roman" w:cs="Times New Roman"/>
          <w:color w:val="auto"/>
          <w:sz w:val="32"/>
          <w:szCs w:val="32"/>
        </w:rPr>
        <w:t xml:space="preserve">的人员包括：企业所属的技术中心及中试车间（基地）等机构中从事科技活动的研究人员、工程技术人员、技术工人及其它辅助人员；虽不在上述机构工作，但编入科技活动项目组（攻关小组）的人员。 </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（2）专门从事科技活动管理和为科技活动提供直接服务</w:t>
      </w:r>
      <w:r>
        <w:rPr>
          <w:rFonts w:ascii="Times New Roman" w:cs="Times New Roman"/>
          <w:color w:val="auto"/>
          <w:sz w:val="32"/>
          <w:szCs w:val="32"/>
        </w:rPr>
        <w:t>的人员包括：企业主管科技工作的负责人，企业科技管理部门（科研管理处、部、科等）的工作人员，直接为科技活动提供资料文献、材料供应、设备维护等服务的人员。不包括保卫、医疗保健、司机、食堂人员、茶炉工、水暖工、清洁工等间接服务人员。</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1</w:t>
      </w:r>
      <w:r>
        <w:rPr>
          <w:rFonts w:ascii="Times New Roman" w:cs="Times New Roman"/>
          <w:b/>
          <w:color w:val="auto"/>
          <w:sz w:val="32"/>
          <w:szCs w:val="32"/>
        </w:rPr>
        <w:t>、企业研究与试验发展人员数</w:t>
      </w:r>
      <w:r>
        <w:rPr>
          <w:rFonts w:ascii="Times New Roman" w:cs="Times New Roman"/>
          <w:color w:val="auto"/>
          <w:sz w:val="32"/>
          <w:szCs w:val="32"/>
        </w:rPr>
        <w:t>：指企业科技活动人员中从事基础研究、应用研究和试验发展三类活动的人员。包括直接参加上述三类项目活动的人员及这类项目的管理和服务人员。</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2</w:t>
      </w:r>
      <w:r>
        <w:rPr>
          <w:rFonts w:ascii="Times New Roman" w:cs="Times New Roman"/>
          <w:b/>
          <w:color w:val="auto"/>
          <w:sz w:val="32"/>
          <w:szCs w:val="32"/>
        </w:rPr>
        <w:t>、企业技术中心职工人数</w:t>
      </w:r>
      <w:r>
        <w:rPr>
          <w:rFonts w:ascii="Times New Roman" w:cs="Times New Roman"/>
          <w:color w:val="auto"/>
          <w:sz w:val="32"/>
          <w:szCs w:val="32"/>
        </w:rPr>
        <w:t>：在技术中心工作并取得劳动报酬的从业人员年平均数。包括技术中心科研开发人员、直接管理人员和直接为其服务的人员等。</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3</w:t>
      </w:r>
      <w:r>
        <w:rPr>
          <w:rFonts w:ascii="Times New Roman" w:cs="Times New Roman"/>
          <w:b/>
          <w:color w:val="auto"/>
          <w:sz w:val="32"/>
          <w:szCs w:val="32"/>
        </w:rPr>
        <w:t>、企业技术中心人员培训费：</w:t>
      </w:r>
      <w:r>
        <w:rPr>
          <w:rFonts w:ascii="Times New Roman" w:cs="Times New Roman"/>
          <w:color w:val="auto"/>
          <w:sz w:val="32"/>
          <w:szCs w:val="32"/>
        </w:rPr>
        <w:t>指技术中心工作人员在国内、海外地区接受继续教育和专项培训的费用总支出。</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4</w:t>
      </w:r>
      <w:r>
        <w:rPr>
          <w:rFonts w:ascii="Times New Roman" w:cs="Times New Roman"/>
          <w:b/>
          <w:color w:val="auto"/>
          <w:sz w:val="32"/>
          <w:szCs w:val="32"/>
        </w:rPr>
        <w:t>、企业技术中心全体职工年收入总额：</w:t>
      </w:r>
      <w:r>
        <w:rPr>
          <w:rFonts w:ascii="Times New Roman" w:cs="Times New Roman"/>
          <w:color w:val="auto"/>
          <w:sz w:val="32"/>
          <w:szCs w:val="32"/>
        </w:rPr>
        <w:t>指技术中心在册全体工作人员的年货币总收入，包括工资、福利费、奖金、政策补贴、项目提成等各项收入的总和。</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5</w:t>
      </w:r>
      <w:r>
        <w:rPr>
          <w:rFonts w:ascii="Times New Roman" w:cs="Times New Roman"/>
          <w:b/>
          <w:color w:val="auto"/>
          <w:sz w:val="32"/>
          <w:szCs w:val="32"/>
        </w:rPr>
        <w:t>、企业技术中心高级专家人数：</w:t>
      </w:r>
      <w:r>
        <w:rPr>
          <w:rFonts w:ascii="Times New Roman" w:cs="Times New Roman"/>
          <w:color w:val="auto"/>
          <w:sz w:val="32"/>
          <w:szCs w:val="32"/>
        </w:rPr>
        <w:t>指全职在技术中心工作、获得国家、</w:t>
      </w:r>
      <w:r>
        <w:rPr>
          <w:rFonts w:hint="eastAsia" w:ascii="Times New Roman" w:cs="Times New Roman"/>
          <w:color w:val="auto"/>
          <w:sz w:val="32"/>
          <w:szCs w:val="32"/>
        </w:rPr>
        <w:t>省</w:t>
      </w:r>
      <w:r>
        <w:rPr>
          <w:rFonts w:ascii="Times New Roman" w:cs="Times New Roman"/>
          <w:color w:val="auto"/>
          <w:sz w:val="32"/>
          <w:szCs w:val="32"/>
        </w:rPr>
        <w:t>、部和计划单列市等政府部门认定的有突出贡献的专家或者享受国家、</w:t>
      </w:r>
      <w:r>
        <w:rPr>
          <w:rFonts w:hint="eastAsia" w:ascii="Times New Roman" w:cs="Times New Roman"/>
          <w:color w:val="auto"/>
          <w:sz w:val="32"/>
          <w:szCs w:val="32"/>
        </w:rPr>
        <w:t>省</w:t>
      </w:r>
      <w:r>
        <w:rPr>
          <w:rFonts w:ascii="Times New Roman" w:cs="Times New Roman"/>
          <w:color w:val="auto"/>
          <w:sz w:val="32"/>
          <w:szCs w:val="32"/>
        </w:rPr>
        <w:t>、部和计划单列市专项津贴的专家的人员数。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6</w:t>
      </w:r>
      <w:r>
        <w:rPr>
          <w:rFonts w:ascii="Times New Roman" w:cs="Times New Roman"/>
          <w:b/>
          <w:color w:val="auto"/>
          <w:sz w:val="32"/>
          <w:szCs w:val="32"/>
        </w:rPr>
        <w:t>、企业技术中心博士人数：</w:t>
      </w:r>
      <w:r>
        <w:rPr>
          <w:rFonts w:ascii="Times New Roman" w:cs="Times New Roman"/>
          <w:color w:val="auto"/>
          <w:sz w:val="32"/>
          <w:szCs w:val="32"/>
        </w:rPr>
        <w:t>指全职在技术中心工作、获得博士学位的人员数。在站的博士后可以作为博士进行统计。</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7</w:t>
      </w:r>
      <w:r>
        <w:rPr>
          <w:rFonts w:ascii="Times New Roman" w:cs="Times New Roman"/>
          <w:b/>
          <w:color w:val="auto"/>
          <w:sz w:val="32"/>
          <w:szCs w:val="32"/>
        </w:rPr>
        <w:t>、来企业技术中心从事研发工作的外部专家人数：</w:t>
      </w:r>
      <w:r>
        <w:rPr>
          <w:rFonts w:ascii="Times New Roman" w:cs="Times New Roman"/>
          <w:color w:val="auto"/>
          <w:sz w:val="32"/>
          <w:szCs w:val="32"/>
        </w:rPr>
        <w:t>指来技术中心从事研究、技术开发工作的具有较高科技开发能力的海内外专家累计人月。最小统计单位为： 0.5人月。</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8</w:t>
      </w:r>
      <w:r>
        <w:rPr>
          <w:rFonts w:ascii="Times New Roman" w:cs="Times New Roman"/>
          <w:b/>
          <w:color w:val="auto"/>
          <w:sz w:val="32"/>
          <w:szCs w:val="32"/>
        </w:rPr>
        <w:t>、企业技术中心在</w:t>
      </w:r>
      <w:r>
        <w:rPr>
          <w:rFonts w:hint="eastAsia" w:ascii="Times New Roman" w:cs="Times New Roman"/>
          <w:b/>
          <w:color w:val="auto"/>
          <w:sz w:val="32"/>
          <w:szCs w:val="32"/>
          <w:lang w:eastAsia="zh-CN"/>
        </w:rPr>
        <w:t>市</w:t>
      </w:r>
      <w:r>
        <w:rPr>
          <w:rFonts w:ascii="Times New Roman" w:cs="Times New Roman"/>
          <w:b/>
          <w:color w:val="auto"/>
          <w:sz w:val="32"/>
          <w:szCs w:val="32"/>
        </w:rPr>
        <w:t>外设立开发设计机构数：</w:t>
      </w:r>
      <w:r>
        <w:rPr>
          <w:rFonts w:ascii="Times New Roman" w:cs="Times New Roman"/>
          <w:color w:val="auto"/>
          <w:sz w:val="32"/>
          <w:szCs w:val="32"/>
        </w:rPr>
        <w:t>指技术中心在</w:t>
      </w:r>
      <w:r>
        <w:rPr>
          <w:rFonts w:hint="eastAsia" w:ascii="Times New Roman" w:cs="Times New Roman"/>
          <w:color w:val="auto"/>
          <w:sz w:val="32"/>
          <w:szCs w:val="32"/>
          <w:lang w:eastAsia="zh-CN"/>
        </w:rPr>
        <w:t>市外</w:t>
      </w:r>
      <w:r>
        <w:rPr>
          <w:rFonts w:ascii="Times New Roman" w:cs="Times New Roman"/>
          <w:color w:val="auto"/>
          <w:sz w:val="32"/>
          <w:szCs w:val="32"/>
        </w:rPr>
        <w:t>设立以科研开发、设计为目的的开发机构数量。</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ascii="Times New Roman" w:cs="Times New Roman"/>
          <w:b/>
          <w:color w:val="auto"/>
          <w:sz w:val="32"/>
          <w:szCs w:val="32"/>
        </w:rPr>
        <w:t>2</w:t>
      </w:r>
      <w:r>
        <w:rPr>
          <w:rFonts w:hint="eastAsia" w:ascii="Times New Roman" w:cs="Times New Roman"/>
          <w:b/>
          <w:color w:val="auto"/>
          <w:sz w:val="32"/>
          <w:szCs w:val="32"/>
          <w:lang w:val="en-US" w:eastAsia="zh-CN"/>
        </w:rPr>
        <w:t>9</w:t>
      </w:r>
      <w:r>
        <w:rPr>
          <w:rFonts w:ascii="Times New Roman" w:cs="Times New Roman"/>
          <w:b/>
          <w:color w:val="auto"/>
          <w:sz w:val="32"/>
          <w:szCs w:val="32"/>
        </w:rPr>
        <w:t>、企业技术中心与其他组织合办开发机构数：</w:t>
      </w:r>
      <w:r>
        <w:rPr>
          <w:rFonts w:ascii="Times New Roman" w:cs="Times New Roman"/>
          <w:color w:val="auto"/>
          <w:sz w:val="32"/>
          <w:szCs w:val="32"/>
        </w:rPr>
        <w:t>指技术中心与高校、研究院所、其他企业联合设立的以科研开发设计为目的的组织机构数量。</w:t>
      </w:r>
    </w:p>
    <w:p>
      <w:pPr>
        <w:pStyle w:val="8"/>
        <w:pageBreakBefore w:val="0"/>
        <w:widowControl w:val="0"/>
        <w:kinsoku/>
        <w:wordWrap/>
        <w:overflowPunct/>
        <w:topLinePunct w:val="0"/>
        <w:bidi w:val="0"/>
        <w:spacing w:line="520" w:lineRule="exact"/>
        <w:ind w:firstLine="643" w:firstLineChars="200"/>
        <w:jc w:val="both"/>
        <w:rPr>
          <w:rFonts w:ascii="Times New Roman" w:cs="Times New Roman"/>
          <w:b/>
          <w:color w:val="auto"/>
          <w:sz w:val="32"/>
          <w:szCs w:val="32"/>
        </w:rPr>
      </w:pPr>
      <w:r>
        <w:rPr>
          <w:rFonts w:hint="eastAsia" w:ascii="Times New Roman" w:cs="Times New Roman"/>
          <w:b/>
          <w:color w:val="auto"/>
          <w:sz w:val="32"/>
          <w:szCs w:val="32"/>
          <w:lang w:val="en-US" w:eastAsia="zh-CN"/>
        </w:rPr>
        <w:t>30</w:t>
      </w:r>
      <w:r>
        <w:rPr>
          <w:rFonts w:ascii="Times New Roman" w:cs="Times New Roman"/>
          <w:b/>
          <w:color w:val="auto"/>
          <w:sz w:val="32"/>
          <w:szCs w:val="32"/>
        </w:rPr>
        <w:t>、通过国家和国际组织认证实验室数</w:t>
      </w:r>
      <w:r>
        <w:rPr>
          <w:rFonts w:ascii="Times New Roman" w:cs="Times New Roman"/>
          <w:color w:val="auto"/>
          <w:sz w:val="32"/>
          <w:szCs w:val="32"/>
        </w:rPr>
        <w:t>：指中华人民共和国有关国家部门和国际组织认定认证的、仍在有效期内的实验室、检测中心的数量。</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1</w:t>
      </w:r>
      <w:r>
        <w:rPr>
          <w:rFonts w:ascii="Times New Roman" w:cs="Times New Roman"/>
          <w:b/>
          <w:color w:val="auto"/>
          <w:sz w:val="32"/>
          <w:szCs w:val="32"/>
        </w:rPr>
        <w:t>、完成新产品新技术新工艺开发项目数：</w:t>
      </w:r>
      <w:r>
        <w:rPr>
          <w:rFonts w:ascii="Times New Roman" w:cs="Times New Roman"/>
          <w:color w:val="auto"/>
          <w:sz w:val="32"/>
          <w:szCs w:val="32"/>
        </w:rPr>
        <w:t>指企业完成（结题）的新产品开发项目数、新技术项目数、新工艺开发项目数的总和。</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2</w:t>
      </w:r>
      <w:r>
        <w:rPr>
          <w:rFonts w:ascii="Times New Roman" w:cs="Times New Roman"/>
          <w:b/>
          <w:color w:val="auto"/>
          <w:sz w:val="32"/>
          <w:szCs w:val="32"/>
        </w:rPr>
        <w:t>、企业拥有的全部有效发明专利数和版权登记数</w:t>
      </w:r>
      <w:r>
        <w:rPr>
          <w:rFonts w:ascii="Times New Roman" w:cs="Times New Roman"/>
          <w:color w:val="auto"/>
          <w:sz w:val="32"/>
          <w:szCs w:val="32"/>
        </w:rPr>
        <w:t>：指企业作为专利权人拥有专利权属、经国内外专利机构授权且在有效期内的全部发明专利件数。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3</w:t>
      </w:r>
      <w:r>
        <w:rPr>
          <w:rFonts w:ascii="Times New Roman" w:cs="Times New Roman"/>
          <w:b/>
          <w:color w:val="auto"/>
          <w:sz w:val="32"/>
          <w:szCs w:val="32"/>
        </w:rPr>
        <w:t>、当年被受理的专利申请数：</w:t>
      </w:r>
      <w:r>
        <w:rPr>
          <w:rFonts w:ascii="Times New Roman" w:cs="Times New Roman"/>
          <w:color w:val="auto"/>
          <w:sz w:val="32"/>
          <w:szCs w:val="32"/>
        </w:rPr>
        <w:t>指企业报告年度内向专利行政部门提出专利申请并被受理的专利件数。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4</w:t>
      </w:r>
      <w:r>
        <w:rPr>
          <w:rFonts w:ascii="Times New Roman" w:cs="Times New Roman"/>
          <w:b/>
          <w:color w:val="auto"/>
          <w:sz w:val="32"/>
          <w:szCs w:val="32"/>
        </w:rPr>
        <w:t>、被受理的发明专利申请数：</w:t>
      </w:r>
      <w:r>
        <w:rPr>
          <w:rFonts w:ascii="Times New Roman" w:cs="Times New Roman"/>
          <w:color w:val="auto"/>
          <w:sz w:val="32"/>
          <w:szCs w:val="32"/>
        </w:rPr>
        <w:t>指企业报告年度内向专利行政部门提出发明专利申请并被受理的专利件数。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5</w:t>
      </w:r>
      <w:r>
        <w:rPr>
          <w:rFonts w:ascii="Times New Roman" w:cs="Times New Roman"/>
          <w:b/>
          <w:color w:val="auto"/>
          <w:sz w:val="32"/>
          <w:szCs w:val="32"/>
        </w:rPr>
        <w:t>、最近</w:t>
      </w:r>
      <w:r>
        <w:rPr>
          <w:rFonts w:hint="eastAsia" w:ascii="Times New Roman" w:cs="Times New Roman"/>
          <w:b/>
          <w:color w:val="auto"/>
          <w:sz w:val="32"/>
          <w:szCs w:val="32"/>
          <w:lang w:eastAsia="zh-CN"/>
        </w:rPr>
        <w:t>二</w:t>
      </w:r>
      <w:r>
        <w:rPr>
          <w:rFonts w:ascii="Times New Roman" w:cs="Times New Roman"/>
          <w:b/>
          <w:color w:val="auto"/>
          <w:sz w:val="32"/>
          <w:szCs w:val="32"/>
        </w:rPr>
        <w:t>年主持和参加制定的国际、国家、行业标准数：</w:t>
      </w:r>
      <w:r>
        <w:rPr>
          <w:rFonts w:ascii="Times New Roman" w:cs="Times New Roman"/>
          <w:color w:val="auto"/>
          <w:sz w:val="32"/>
          <w:szCs w:val="32"/>
        </w:rPr>
        <w:t>指企业在报告年度、报告年度前一年主持或参与制定，目前仍有效执行的国际、国家、行业标准的数量。</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6</w:t>
      </w:r>
      <w:r>
        <w:rPr>
          <w:rFonts w:ascii="Times New Roman" w:cs="Times New Roman"/>
          <w:b/>
          <w:color w:val="auto"/>
          <w:sz w:val="32"/>
          <w:szCs w:val="32"/>
        </w:rPr>
        <w:t>、企业获中国驰名商标数、</w:t>
      </w:r>
      <w:r>
        <w:rPr>
          <w:rFonts w:hint="eastAsia" w:ascii="Times New Roman" w:cs="Times New Roman"/>
          <w:b/>
          <w:color w:val="auto"/>
          <w:sz w:val="32"/>
          <w:szCs w:val="32"/>
        </w:rPr>
        <w:t>省</w:t>
      </w:r>
      <w:r>
        <w:rPr>
          <w:rFonts w:ascii="Times New Roman" w:cs="Times New Roman"/>
          <w:b/>
          <w:color w:val="auto"/>
          <w:sz w:val="32"/>
          <w:szCs w:val="32"/>
        </w:rPr>
        <w:t>著名商标数:</w:t>
      </w:r>
      <w:r>
        <w:rPr>
          <w:rFonts w:ascii="Times New Roman" w:cs="Times New Roman"/>
          <w:color w:val="auto"/>
          <w:sz w:val="32"/>
          <w:szCs w:val="32"/>
        </w:rPr>
        <w:t>指企业拥有的国家工商行政管理总局评定的中国驰名商标数（含国际驰名商标数）和广东</w:t>
      </w:r>
      <w:r>
        <w:rPr>
          <w:rFonts w:hint="eastAsia" w:ascii="Times New Roman" w:cs="Times New Roman"/>
          <w:color w:val="auto"/>
          <w:sz w:val="32"/>
          <w:szCs w:val="32"/>
        </w:rPr>
        <w:t>省</w:t>
      </w:r>
      <w:r>
        <w:rPr>
          <w:rFonts w:ascii="Times New Roman" w:cs="Times New Roman"/>
          <w:color w:val="auto"/>
          <w:sz w:val="32"/>
          <w:szCs w:val="32"/>
        </w:rPr>
        <w:t>工商行政管理局评定的广东</w:t>
      </w:r>
      <w:r>
        <w:rPr>
          <w:rFonts w:hint="eastAsia" w:ascii="Times New Roman" w:cs="Times New Roman"/>
          <w:color w:val="auto"/>
          <w:sz w:val="32"/>
          <w:szCs w:val="32"/>
        </w:rPr>
        <w:t>省</w:t>
      </w:r>
      <w:r>
        <w:rPr>
          <w:rFonts w:ascii="Times New Roman" w:cs="Times New Roman"/>
          <w:color w:val="auto"/>
          <w:sz w:val="32"/>
          <w:szCs w:val="32"/>
        </w:rPr>
        <w:t>著名商标数。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7</w:t>
      </w:r>
      <w:r>
        <w:rPr>
          <w:rFonts w:ascii="Times New Roman" w:cs="Times New Roman"/>
          <w:b/>
          <w:color w:val="auto"/>
          <w:sz w:val="32"/>
          <w:szCs w:val="32"/>
        </w:rPr>
        <w:t>、企业获中国名牌产品数、</w:t>
      </w:r>
      <w:r>
        <w:rPr>
          <w:rFonts w:hint="eastAsia" w:ascii="Times New Roman" w:cs="Times New Roman"/>
          <w:b/>
          <w:color w:val="auto"/>
          <w:sz w:val="32"/>
          <w:szCs w:val="32"/>
        </w:rPr>
        <w:t>省</w:t>
      </w:r>
      <w:r>
        <w:rPr>
          <w:rFonts w:ascii="Times New Roman" w:cs="Times New Roman"/>
          <w:b/>
          <w:color w:val="auto"/>
          <w:sz w:val="32"/>
          <w:szCs w:val="32"/>
        </w:rPr>
        <w:t>名牌产品数：</w:t>
      </w:r>
      <w:r>
        <w:rPr>
          <w:rFonts w:ascii="Times New Roman" w:cs="Times New Roman"/>
          <w:color w:val="auto"/>
          <w:sz w:val="32"/>
          <w:szCs w:val="32"/>
        </w:rPr>
        <w:t>指企业拥有的中国名牌产品数和广东</w:t>
      </w:r>
      <w:r>
        <w:rPr>
          <w:rFonts w:hint="eastAsia" w:ascii="Times New Roman" w:cs="Times New Roman"/>
          <w:color w:val="auto"/>
          <w:sz w:val="32"/>
          <w:szCs w:val="32"/>
        </w:rPr>
        <w:t>省</w:t>
      </w:r>
      <w:r>
        <w:rPr>
          <w:rFonts w:ascii="Times New Roman" w:cs="Times New Roman"/>
          <w:color w:val="auto"/>
          <w:sz w:val="32"/>
          <w:szCs w:val="32"/>
        </w:rPr>
        <w:t>名牌产品数。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8</w:t>
      </w:r>
      <w:r>
        <w:rPr>
          <w:rFonts w:ascii="Times New Roman" w:cs="Times New Roman"/>
          <w:b/>
          <w:color w:val="auto"/>
          <w:sz w:val="32"/>
          <w:szCs w:val="32"/>
        </w:rPr>
        <w:t>、获国家</w:t>
      </w:r>
      <w:r>
        <w:rPr>
          <w:rFonts w:hint="eastAsia" w:ascii="Times New Roman" w:cs="Times New Roman"/>
          <w:b/>
          <w:color w:val="auto"/>
          <w:sz w:val="32"/>
          <w:szCs w:val="32"/>
        </w:rPr>
        <w:t>、省和</w:t>
      </w:r>
      <w:r>
        <w:rPr>
          <w:rFonts w:ascii="Times New Roman" w:cs="Times New Roman"/>
          <w:b/>
          <w:color w:val="auto"/>
          <w:sz w:val="32"/>
          <w:szCs w:val="32"/>
        </w:rPr>
        <w:t>市自然科学、技术发明、科技进步奖项目数：</w:t>
      </w:r>
      <w:r>
        <w:rPr>
          <w:rFonts w:ascii="Times New Roman" w:cs="Times New Roman"/>
          <w:color w:val="auto"/>
          <w:sz w:val="32"/>
          <w:szCs w:val="32"/>
        </w:rPr>
        <w:t>指企业获得国家</w:t>
      </w:r>
      <w:r>
        <w:rPr>
          <w:rFonts w:hint="eastAsia" w:ascii="Times New Roman" w:cs="Times New Roman"/>
          <w:color w:val="auto"/>
          <w:sz w:val="32"/>
          <w:szCs w:val="32"/>
        </w:rPr>
        <w:t>、省</w:t>
      </w:r>
      <w:r>
        <w:rPr>
          <w:rFonts w:ascii="Times New Roman" w:cs="Times New Roman"/>
          <w:color w:val="auto"/>
          <w:sz w:val="32"/>
          <w:szCs w:val="32"/>
        </w:rPr>
        <w:t>和市自然科学奖、国家技术发明奖和国家科技进步奖的项目总数。</w:t>
      </w:r>
    </w:p>
    <w:p>
      <w:pPr>
        <w:pStyle w:val="8"/>
        <w:pageBreakBefore w:val="0"/>
        <w:widowControl w:val="0"/>
        <w:kinsoku/>
        <w:wordWrap/>
        <w:overflowPunct/>
        <w:topLinePunct w:val="0"/>
        <w:bidi w:val="0"/>
        <w:spacing w:line="520" w:lineRule="exact"/>
        <w:ind w:firstLine="643" w:firstLineChars="200"/>
        <w:jc w:val="both"/>
        <w:rPr>
          <w:rFonts w:ascii="Times New Roman" w:cs="Times New Roman"/>
          <w:color w:val="auto"/>
          <w:sz w:val="32"/>
          <w:szCs w:val="32"/>
        </w:rPr>
      </w:pPr>
      <w:r>
        <w:rPr>
          <w:rFonts w:ascii="Times New Roman" w:cs="Times New Roman"/>
          <w:b/>
          <w:color w:val="auto"/>
          <w:sz w:val="32"/>
          <w:szCs w:val="32"/>
        </w:rPr>
        <w:t>3</w:t>
      </w:r>
      <w:r>
        <w:rPr>
          <w:rFonts w:hint="eastAsia" w:ascii="Times New Roman" w:cs="Times New Roman"/>
          <w:b/>
          <w:color w:val="auto"/>
          <w:sz w:val="32"/>
          <w:szCs w:val="32"/>
          <w:lang w:val="en-US" w:eastAsia="zh-CN"/>
        </w:rPr>
        <w:t>9</w:t>
      </w:r>
      <w:r>
        <w:rPr>
          <w:rFonts w:ascii="Times New Roman" w:cs="Times New Roman"/>
          <w:b/>
          <w:color w:val="auto"/>
          <w:sz w:val="32"/>
          <w:szCs w:val="32"/>
        </w:rPr>
        <w:t>、万元工业增加值能耗：</w:t>
      </w:r>
      <w:r>
        <w:rPr>
          <w:rFonts w:ascii="Times New Roman" w:cs="Times New Roman"/>
          <w:color w:val="auto"/>
          <w:sz w:val="32"/>
          <w:szCs w:val="32"/>
        </w:rPr>
        <w:t>指企业万元工业增加值所消耗的吨标准煤。（以企业主导产品单耗在行业中排名情况为主要考察指标）</w:t>
      </w:r>
    </w:p>
    <w:p>
      <w:pPr>
        <w:jc w:val="cente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11</w:t>
    </w:r>
    <w:r>
      <w:rPr>
        <w:rFonts w:ascii="宋体" w:hAnsi="宋体"/>
        <w:sz w:val="28"/>
        <w:szCs w:val="28"/>
      </w:rPr>
      <w:fldChar w:fldCharType="end"/>
    </w:r>
    <w:r>
      <w:rPr>
        <w:rStyle w:val="6"/>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4</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tabs>
          <w:tab w:val="left" w:pos="735"/>
        </w:tabs>
        <w:ind w:left="735" w:hanging="735"/>
      </w:pPr>
      <w:rPr>
        <w:rFonts w:hint="default"/>
        <w:sz w:val="36"/>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19128F"/>
    <w:rsid w:val="0719128F"/>
    <w:rsid w:val="0D376E7B"/>
    <w:rsid w:val="194509B9"/>
    <w:rsid w:val="3DBE0A7C"/>
    <w:rsid w:val="6A5B4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0"/>
    </w:rPr>
  </w:style>
  <w:style w:type="character" w:styleId="6">
    <w:name w:val="page number"/>
    <w:basedOn w:val="5"/>
    <w:unhideWhenUsed/>
    <w:uiPriority w:val="99"/>
  </w:style>
  <w:style w:type="paragraph" w:customStyle="1" w:styleId="7">
    <w:name w:val="普通 (Web)"/>
    <w:basedOn w:val="1"/>
    <w:qFormat/>
    <w:uiPriority w:val="0"/>
    <w:pPr>
      <w:widowControl/>
      <w:spacing w:before="102" w:after="102" w:line="600" w:lineRule="atLeast"/>
      <w:ind w:firstLine="419"/>
      <w:jc w:val="left"/>
      <w:textAlignment w:val="baseline"/>
    </w:pPr>
    <w:rPr>
      <w:rFonts w:ascii="宋体"/>
      <w:color w:val="000000"/>
      <w:kern w:val="0"/>
      <w:sz w:val="24"/>
      <w:szCs w:val="20"/>
      <w:u w:val="none" w:color="000000"/>
    </w:rPr>
  </w:style>
  <w:style w:type="paragraph" w:customStyle="1" w:styleId="8">
    <w:name w:val="Defaul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2019-06-28T08:28:00Z</dcterms:created>
  <dc:creator>张家威</dc:creator>
  <cp:lastModifiedBy>张家威</cp:lastModifiedBy>
  <dcterms:modified xsi:type="dcterms:W3CDTF">2019-06-28T08:33:31Z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